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3.png" ContentType="image/png"/>
  <Override PartName="/word/media/rId62.png" ContentType="image/png"/>
  <Override PartName="/word/media/rId7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2" w:name="X4c697b786a6bdf386b0c4add231068c0f03d94f"/>
    <w:p>
      <w:pPr>
        <w:pStyle w:val="Heading1"/>
      </w:pPr>
      <w:r>
        <w:t xml:space="preserve">The Cost of Ignoring Mode Correlations in Black-Hole</w:t>
      </w:r>
      <w:r>
        <w:t xml:space="preserve"> </w:t>
      </w:r>
      <w:r>
        <w:t xml:space="preserve">Quasinormal-Mode Resolvability Forecasts</w:t>
      </w:r>
    </w:p>
    <w:p>
      <w:pPr>
        <w:pStyle w:val="FirstParagraph"/>
      </w:pPr>
      <w:r>
        <w:t xml:space="preserve"> </w:t>
      </w:r>
      <w:r>
        <w:t xml:space="preserve">Diwen Huang</w:t>
      </w:r>
      <w:r>
        <w:rPr>
          <w:vertAlign w:val="superscript"/>
        </w:rPr>
        <w:t xml:space="preserve">*</w:t>
      </w:r>
      <w:r>
        <w:t xml:space="preserve"> </w:t>
      </w:r>
      <w:r>
        <w:t xml:space="preserve">Port Moody Secondary School</w:t>
      </w:r>
      <w:r>
        <w:t xml:space="preserve"> </w:t>
      </w:r>
      <w:r>
        <w:t xml:space="preserve">diwenhuang42@gmail.com</w:t>
      </w:r>
      <w:r>
        <w:t xml:space="preserve"> </w:t>
      </w:r>
      <w:r>
        <w:t xml:space="preserve"> </w:t>
      </w:r>
      <w:r>
        <w:t xml:space="preserve"> </w:t>
      </w:r>
      <w:r>
        <w:t xml:space="preserve">Zelin Zhu</w:t>
      </w:r>
      <w:r>
        <w:rPr>
          <w:vertAlign w:val="superscript"/>
        </w:rPr>
        <w:t xml:space="preserve">*</w:t>
      </w:r>
      <w:r>
        <w:t xml:space="preserve"> </w:t>
      </w:r>
      <w:r>
        <w:t xml:space="preserve">University of North Carolina at Chapel Hill</w:t>
      </w:r>
      <w:r>
        <w:t xml:space="preserve"> </w:t>
      </w:r>
      <w:r>
        <w:t xml:space="preserve">zelinzhu@ad.unc.edu</w:t>
      </w:r>
    </w:p>
    <w:p>
      <w:pPr>
        <w:pStyle w:val="BodyText"/>
      </w:pPr>
      <w:r>
        <w:rPr>
          <w:vertAlign w:val="superscript"/>
        </w:rPr>
        <w:t xml:space="preserve">*</w:t>
      </w:r>
      <w:r>
        <w:t xml:space="preserve">Equal contribution.</w:t>
      </w:r>
    </w:p>
    <w:bookmarkStart w:id="9" w:name="abstract"/>
    <w:p>
      <w:pPr>
        <w:pStyle w:val="Heading6"/>
      </w:pPr>
      <w:r>
        <w:t xml:space="preserve">Abstract</w:t>
      </w:r>
    </w:p>
    <w:p>
      <w:pPr>
        <w:pStyle w:val="FirstParagraph"/>
      </w:pPr>
      <w:r>
        <w:t xml:space="preserve">Forecasts in black-hole spectroscopy decide whether two quasinormal</w:t>
      </w:r>
      <w:r>
        <w:t xml:space="preserve"> </w:t>
      </w:r>
      <w:r>
        <w:t xml:space="preserve">modes are distinguishable using a Rayleigh-type criterion: the modes</w:t>
      </w:r>
      <w:r>
        <w:t xml:space="preserve"> </w:t>
      </w:r>
      <w:r>
        <w:t xml:space="preserve">are declared resolvable when their frequency and damping-time</w:t>
      </w:r>
      <w:r>
        <w:t xml:space="preserve"> </w:t>
      </w:r>
      <w:r>
        <w:t xml:space="preserve">separations exceed the statistical uncertainties of the corresponding</w:t>
      </w:r>
      <w:r>
        <w:t xml:space="preserve"> </w:t>
      </w:r>
      <w:r>
        <w:t xml:space="preserve">estimates. Those uncertainties can be drawn from the joint two-mode</w:t>
      </w:r>
      <w:r>
        <w:t xml:space="preserve"> </w:t>
      </w:r>
      <w:r>
        <w:t xml:space="preserve">Fisher matrix that keeps the correlations between the mode templates,</w:t>
      </w:r>
      <w:r>
        <w:t xml:space="preserve"> </w:t>
      </w:r>
      <w:r>
        <w:t xml:space="preserve">as the forecast literature does, or from a single-mode analysis that</w:t>
      </w:r>
      <w:r>
        <w:t xml:space="preserve"> </w:t>
      </w:r>
      <w:r>
        <w:t xml:space="preserve">treats each mode as if alone, a natural shortcut when correlations</w:t>
      </w:r>
      <w:r>
        <w:t xml:space="preserve"> </w:t>
      </w:r>
      <w:r>
        <w:t xml:space="preserve">are presumed small. This paper quantifies what the shortcut costs.</w:t>
      </w:r>
      <w:r>
        <w:t xml:space="preserve"> </w:t>
      </w:r>
      <w:r>
        <w:t xml:space="preserve">The ratio between the two resulting signal-to-noise thresholds is</w:t>
      </w:r>
      <w:r>
        <w:t xml:space="preserve"> </w:t>
      </w:r>
      <w:r>
        <w:t xml:space="preserve">computed for damped-sinusoid fits over a finite analysis window,</w:t>
      </w:r>
      <w:r>
        <w:t xml:space="preserve"> </w:t>
      </w:r>
      <w:r>
        <w:t xml:space="preserve">across the full astrophysical spin range and a wide family of window</w:t>
      </w:r>
      <w:r>
        <w:t xml:space="preserve"> </w:t>
      </w:r>
      <w:r>
        <w:t xml:space="preserve">choices, under white noise. For the contested fundamental-overtone</w:t>
      </w:r>
      <w:r>
        <w:t xml:space="preserve"> </w:t>
      </w:r>
      <w:r>
        <w:t xml:space="preserve">pair the correlation-aware threshold exceeds the single-mode one by a</w:t>
      </w:r>
      <w:r>
        <w:t xml:space="preserve"> </w:t>
      </w:r>
      <w:r>
        <w:t xml:space="preserve">factor of about four to eight everywhere on the map (median over</w:t>
      </w:r>
      <w:r>
        <w:t xml:space="preserve"> </w:t>
      </w:r>
      <w:r>
        <w:t xml:space="preserve">relative phase): at remnant spin 0.69 the thresholds are 71 against</w:t>
      </w:r>
      <w:r>
        <w:t xml:space="preserve"> </w:t>
      </w:r>
      <w:r>
        <w:t xml:space="preserve">310. For a well-separated control pair the factor stays near or</w:t>
      </w:r>
      <w:r>
        <w:t xml:space="preserve"> </w:t>
      </w:r>
      <w:r>
        <w:t xml:space="preserve">below two. The penalty is set almost entirely by the threefold</w:t>
      </w:r>
      <w:r>
        <w:t xml:space="preserve"> </w:t>
      </w:r>
      <w:r>
        <w:t xml:space="preserve">difference in damping times, not by the two-percent frequency</w:t>
      </w:r>
      <w:r>
        <w:t xml:space="preserve"> </w:t>
      </w:r>
      <w:r>
        <w:t xml:space="preserve">splitting, and the template overlap behind it has a simple closed</w:t>
      </w:r>
      <w:r>
        <w:t xml:space="preserve"> </w:t>
      </w:r>
      <w:r>
        <w:t xml:space="preserve">form. Two properties are exact: the ratio is independent of the mode</w:t>
      </w:r>
      <w:r>
        <w:t xml:space="preserve"> </w:t>
      </w:r>
      <w:r>
        <w:t xml:space="preserve">amplitude ratio, and the overlap is invariant under translation of</w:t>
      </w:r>
      <w:r>
        <w:t xml:space="preserve"> </w:t>
      </w:r>
      <w:r>
        <w:t xml:space="preserve">the analysis window, which also removes any remnant-mass dependence</w:t>
      </w:r>
      <w:r>
        <w:t xml:space="preserve"> </w:t>
      </w:r>
      <w:r>
        <w:t xml:space="preserve">under white noise. Individual-phase thresholds spread by tens of</w:t>
      </w:r>
      <w:r>
        <w:t xml:space="preserve"> </w:t>
      </w:r>
      <w:r>
        <w:t xml:space="preserve">percent about the reported medians, and the noise model is white</w:t>
      </w:r>
      <w:r>
        <w:t xml:space="preserve"> </w:t>
      </w:r>
      <w:r>
        <w:t xml:space="preserve">throughout; both limitations are stated where they enter. The full</w:t>
      </w:r>
      <w:r>
        <w:t xml:space="preserve"> </w:t>
      </w:r>
      <w:r>
        <w:t xml:space="preserve">pipeline reproduces every figure with one command.</w:t>
      </w:r>
    </w:p>
    <w:bookmarkEnd w:id="9"/>
    <w:bookmarkStart w:id="10" w:name="index-terms"/>
    <w:p>
      <w:pPr>
        <w:pStyle w:val="Heading6"/>
      </w:pPr>
      <w:r>
        <w:t xml:space="preserve">Index Terms:</w:t>
      </w:r>
    </w:p>
    <w:p>
      <w:pPr>
        <w:pStyle w:val="FirstParagraph"/>
      </w:pPr>
      <w:r>
        <w:t xml:space="preserve">black-hole spectroscopy, quasinormal modes, ringdown, Fisher</w:t>
      </w:r>
      <w:r>
        <w:t xml:space="preserve"> </w:t>
      </w:r>
      <w:r>
        <w:t xml:space="preserve">information, non-normal operators, condition number</w:t>
      </w:r>
    </w:p>
    <w:bookmarkEnd w:id="10"/>
    <w:bookmarkStart w:id="26" w:name="S1"/>
    <w:p>
      <w:pPr>
        <w:pStyle w:val="Heading2"/>
      </w:pPr>
      <w:bookmarkStart w:id="11" w:name="i-introduction"/>
      <w:r>
        <w:t xml:space="preserve">I</w:t>
      </w:r>
      <w:r>
        <w:t xml:space="preserve"> </w:t>
      </w:r>
      <w:r>
        <w:t xml:space="preserve">Introduction</w:t>
      </w:r>
      <w:bookmarkEnd w:id="11"/>
    </w:p>
    <w:bookmarkStart w:id="12" w:name="S1.p1"/>
    <w:p>
      <w:pPr>
        <w:pStyle w:val="FirstParagraph"/>
      </w:pPr>
      <w:r>
        <w:t xml:space="preserve">After two black holes merge, the remnant settles down by emitting</w:t>
      </w:r>
      <w:r>
        <w:t xml:space="preserve"> </w:t>
      </w:r>
      <w:r>
        <w:t xml:space="preserve">gravitational waves at a discrete set of complex frequencies, the</w:t>
      </w:r>
      <w:r>
        <w:t xml:space="preserve"> </w:t>
      </w:r>
      <w:r>
        <w:t xml:space="preserve">quasinormal modes (QNMs) of the final Kerr black hole. Because general</w:t>
      </w:r>
      <w:r>
        <w:t xml:space="preserve"> </w:t>
      </w:r>
      <w:r>
        <w:t xml:space="preserve">relativity fixes every QNM frequency by the remnant’s mass and spin</w:t>
      </w:r>
      <w:r>
        <w:t xml:space="preserve"> </w:t>
      </w:r>
      <w:r>
        <w:t xml:space="preserve">alone, detecting two or more modes in the ringdown and checking their</w:t>
      </w:r>
      <w:r>
        <w:t xml:space="preserve"> </w:t>
      </w:r>
      <w:r>
        <w:t xml:space="preserve">consistency is a direct test of the no-hair theorem, the statement</w:t>
      </w:r>
      <w:r>
        <w:t xml:space="preserve"> </w:t>
      </w:r>
      <w:r>
        <w:t xml:space="preserve">that an isolated black hole carries no structure beyond those two</w:t>
      </w:r>
      <w:r>
        <w:t xml:space="preserve"> </w:t>
      </w:r>
      <w:r>
        <w:t xml:space="preserve">numbers [</w:t>
      </w:r>
      <w:hyperlink w:anchor="bib.bib1">
        <w:r>
          <w:rPr>
            <w:rStyle w:val="Hyperlink"/>
          </w:rPr>
          <w:t xml:space="preserve">1</w:t>
        </w:r>
      </w:hyperlink>
      <w:r>
        <w:t xml:space="preserve">,</w:t>
      </w:r>
      <w:r>
        <w:t xml:space="preserve"> </w:t>
      </w:r>
      <w:hyperlink w:anchor="bib.bib2">
        <w:r>
          <w:rPr>
            <w:rStyle w:val="Hyperlink"/>
          </w:rPr>
          <w:t xml:space="preserve">2</w:t>
        </w:r>
      </w:hyperlink>
      <w:r>
        <w:t xml:space="preserve">]. Whether current detectors</w:t>
      </w:r>
      <w:r>
        <w:t xml:space="preserve"> </w:t>
      </w:r>
      <w:r>
        <w:t xml:space="preserve">have already achieved this with the first overtone of GW150914 (a</w:t>
      </w:r>
      <w:r>
        <w:t xml:space="preserve"> </w:t>
      </w:r>
      <w:r>
        <w:t xml:space="preserve">shorter-lived mode sharing the fundamental’s angular harmonic at</w:t>
      </w:r>
      <w:r>
        <w:t xml:space="preserve"> </w:t>
      </w:r>
      <w:r>
        <w:t xml:space="preserve">nearly the same frequency) remains actively disputed</w:t>
      </w:r>
      <w:r>
        <w:t xml:space="preserve"> </w:t>
      </w:r>
      <w:r>
        <w:t xml:space="preserve">[</w:t>
      </w:r>
      <w:hyperlink w:anchor="bib.bib2">
        <w:r>
          <w:rPr>
            <w:rStyle w:val="Hyperlink"/>
          </w:rPr>
          <w:t xml:space="preserve">2</w:t>
        </w:r>
      </w:hyperlink>
      <w:r>
        <w:t xml:space="preserve">,</w:t>
      </w:r>
      <w:r>
        <w:t xml:space="preserve"> </w:t>
      </w:r>
      <w:hyperlink w:anchor="bib.bib3">
        <w:r>
          <w:rPr>
            <w:rStyle w:val="Hyperlink"/>
          </w:rPr>
          <w:t xml:space="preserve">3</w:t>
        </w:r>
      </w:hyperlink>
      <w:r>
        <w:t xml:space="preserve">].</w:t>
      </w:r>
    </w:p>
    <w:bookmarkEnd w:id="12"/>
    <w:bookmarkStart w:id="13" w:name="S1.p2"/>
    <w:p>
      <w:pPr>
        <w:pStyle w:val="BodyText"/>
      </w:pPr>
      <w:r>
        <w:t xml:space="preserve">Forecasts of when such tests become possible rest on a resolvability</w:t>
      </w:r>
      <w:r>
        <w:t xml:space="preserve"> </w:t>
      </w:r>
      <w:r>
        <w:t xml:space="preserve">criterion. The standard choice is Rayleigh-like</w:t>
      </w:r>
      <w:r>
        <w:t xml:space="preserve"> </w:t>
      </w:r>
      <w:r>
        <w:t xml:space="preserve">[</w:t>
      </w:r>
      <w:hyperlink w:anchor="bib.bib1">
        <w:r>
          <w:rPr>
            <w:rStyle w:val="Hyperlink"/>
          </w:rPr>
          <w:t xml:space="preserve">1</w:t>
        </w:r>
      </w:hyperlink>
      <w:r>
        <w:t xml:space="preserve">,</w:t>
      </w:r>
      <w:r>
        <w:t xml:space="preserve"> </w:t>
      </w:r>
      <w:hyperlink w:anchor="bib.bib4">
        <w:r>
          <w:rPr>
            <w:rStyle w:val="Hyperlink"/>
          </w:rPr>
          <w:t xml:space="preserve">4</w:t>
        </w:r>
      </w:hyperlink>
      <w:r>
        <w:t xml:space="preserve">,</w:t>
      </w:r>
      <w:r>
        <w:t xml:space="preserve"> </w:t>
      </w:r>
      <w:hyperlink w:anchor="bib.bib5">
        <w:r>
          <w:rPr>
            <w:rStyle w:val="Hyperlink"/>
          </w:rPr>
          <w:t xml:space="preserve">5</w:t>
        </w:r>
      </w:hyperlink>
      <w:r>
        <w:t xml:space="preserve">]: two modes are</w:t>
      </w:r>
      <w:r>
        <w:t xml:space="preserve"> </w:t>
      </w:r>
      <w:r>
        <w:t xml:space="preserve">declared distinguishable at a given signal-to-noise ratio (SNR) if</w:t>
      </w:r>
      <w:r>
        <w:t xml:space="preserve"> </w:t>
      </w:r>
      <w:r>
        <w:t xml:space="preserve">their frequency separation exceeds the statistical uncertainty of the</w:t>
      </w:r>
      <w:r>
        <w:t xml:space="preserve"> </w:t>
      </w:r>
      <w:r>
        <w:t xml:space="preserve">frequency estimates, and likewise for the damping times. Its users are</w:t>
      </w:r>
      <w:r>
        <w:t xml:space="preserve"> </w:t>
      </w:r>
      <w:r>
        <w:t xml:space="preserve">not naive about it: Ota and Chirenti found it</w:t>
      </w:r>
      <w:r>
        <w:t xml:space="preserve"> </w:t>
      </w:r>
      <w:r>
        <w:rPr>
          <w:i/>
          <w:iCs/>
        </w:rPr>
        <w:t xml:space="preserve">overly</w:t>
      </w:r>
      <w:r>
        <w:rPr>
          <w:i/>
          <w:iCs/>
        </w:rPr>
        <w:t xml:space="preserve"> </w:t>
      </w:r>
      <w:r>
        <w:rPr>
          <w:i/>
          <w:iCs/>
        </w:rPr>
        <w:t xml:space="preserve">restrictive</w:t>
      </w:r>
      <w:r>
        <w:t xml:space="preserve"> </w:t>
      </w:r>
      <w:r>
        <w:t xml:space="preserve">relative to a Bayes-factor threshold and argued for the</w:t>
      </w:r>
      <w:r>
        <w:t xml:space="preserve"> </w:t>
      </w:r>
      <w:r>
        <w:t xml:space="preserve">latter [</w:t>
      </w:r>
      <w:hyperlink w:anchor="bib.bib4">
        <w:r>
          <w:rPr>
            <w:rStyle w:val="Hyperlink"/>
          </w:rPr>
          <w:t xml:space="preserve">4</w:t>
        </w:r>
      </w:hyperlink>
      <w:r>
        <w:t xml:space="preserve">]. The criterion nonetheless continues to</w:t>
      </w:r>
      <w:r>
        <w:t xml:space="preserve"> </w:t>
      </w:r>
      <w:r>
        <w:t xml:space="preserve">anchor quantitative statements throughout the forecast literature</w:t>
      </w:r>
      <w:r>
        <w:t xml:space="preserve"> </w:t>
      </w:r>
      <w:r>
        <w:t xml:space="preserve">[</w:t>
      </w:r>
      <w:hyperlink w:anchor="bib.bib5">
        <w:r>
          <w:rPr>
            <w:rStyle w:val="Hyperlink"/>
          </w:rPr>
          <w:t xml:space="preserve">5</w:t>
        </w:r>
      </w:hyperlink>
      <w:r>
        <w:t xml:space="preserve">,</w:t>
      </w:r>
      <w:r>
        <w:t xml:space="preserve"> </w:t>
      </w:r>
      <w:hyperlink w:anchor="bib.bib6">
        <w:r>
          <w:rPr>
            <w:rStyle w:val="Hyperlink"/>
          </w:rPr>
          <w:t xml:space="preserve">6</w:t>
        </w:r>
      </w:hyperlink>
      <w:r>
        <w:t xml:space="preserve">].</w:t>
      </w:r>
    </w:p>
    <w:bookmarkEnd w:id="13"/>
    <w:bookmarkStart w:id="14" w:name="S1.p3"/>
    <w:p>
      <w:pPr>
        <w:pStyle w:val="BodyText"/>
      </w:pPr>
      <w:r>
        <w:t xml:space="preserve">In parallel, the pseudospectrum programme (which maps an operator’s</w:t>
      </w:r>
      <w:r>
        <w:t xml:space="preserve"> </w:t>
      </w:r>
      <w:r>
        <w:t xml:space="preserve">approximate eigenvalues to ask how far its spectrum moves under small</w:t>
      </w:r>
      <w:r>
        <w:t xml:space="preserve"> </w:t>
      </w:r>
      <w:r>
        <w:t xml:space="preserve">perturbations) has put a structural fact on firm footing: the</w:t>
      </w:r>
      <w:r>
        <w:t xml:space="preserve"> </w:t>
      </w:r>
      <w:r>
        <w:t xml:space="preserve">operator governing black-hole ringdown is non-self-adjoint, meaning</w:t>
      </w:r>
      <w:r>
        <w:t xml:space="preserve"> </w:t>
      </w:r>
      <w:r>
        <w:t xml:space="preserve">it differs from its adjoint and so need not admit an orthogonal</w:t>
      </w:r>
      <w:r>
        <w:t xml:space="preserve"> </w:t>
      </w:r>
      <w:r>
        <w:t xml:space="preserve">eigenbasis; its spectrum can be unstable under small perturbations;</w:t>
      </w:r>
      <w:r>
        <w:t xml:space="preserve"> </w:t>
      </w:r>
      <w:r>
        <w:t xml:space="preserve">and its eigenfunctions, the QNMs, are not orthogonal in physically</w:t>
      </w:r>
      <w:r>
        <w:t xml:space="preserve"> </w:t>
      </w:r>
      <w:r>
        <w:t xml:space="preserve">motivated inner products</w:t>
      </w:r>
      <w:r>
        <w:t xml:space="preserve"> </w:t>
      </w:r>
      <w:r>
        <w:t xml:space="preserve">[</w:t>
      </w:r>
      <w:hyperlink w:anchor="bib.bib7">
        <w:r>
          <w:rPr>
            <w:rStyle w:val="Hyperlink"/>
          </w:rPr>
          <w:t xml:space="preserve">7</w:t>
        </w:r>
      </w:hyperlink>
      <w:r>
        <w:t xml:space="preserve">,</w:t>
      </w:r>
      <w:r>
        <w:t xml:space="preserve"> </w:t>
      </w:r>
      <w:hyperlink w:anchor="bib.bib8">
        <w:r>
          <w:rPr>
            <w:rStyle w:val="Hyperlink"/>
          </w:rPr>
          <w:t xml:space="preserve">8</w:t>
        </w:r>
      </w:hyperlink>
      <w:r>
        <w:t xml:space="preserve">,</w:t>
      </w:r>
      <w:r>
        <w:t xml:space="preserve"> </w:t>
      </w:r>
      <w:hyperlink w:anchor="bib.bib9">
        <w:r>
          <w:rPr>
            <w:rStyle w:val="Hyperlink"/>
          </w:rPr>
          <w:t xml:space="preserve">9</w:t>
        </w:r>
      </w:hyperlink>
      <w:r>
        <w:t xml:space="preserve">].</w:t>
      </w:r>
      <w:r>
        <w:t xml:space="preserve"> </w:t>
      </w:r>
      <w:r>
        <w:t xml:space="preserve">Estimation theory is unambiguous about what non-orthogonality does to</w:t>
      </w:r>
      <w:r>
        <w:t xml:space="preserve"> </w:t>
      </w:r>
      <w:r>
        <w:t xml:space="preserve">a</w:t>
      </w:r>
      <w:r>
        <w:t xml:space="preserve"> </w:t>
      </w:r>
      <w:r>
        <w:rPr>
          <w:i/>
          <w:iCs/>
        </w:rPr>
        <w:t xml:space="preserve">joint</w:t>
      </w:r>
      <w:r>
        <w:t xml:space="preserve"> </w:t>
      </w:r>
      <w:r>
        <w:t xml:space="preserve">fit: the covariance of the estimated parameters is</w:t>
      </w:r>
      <w:r>
        <w:t xml:space="preserve"> </w:t>
      </w:r>
      <w:r>
        <w:t xml:space="preserve">governed by the correlations of the template set, so the achievable</w:t>
      </w:r>
      <w:r>
        <w:t xml:space="preserve"> </w:t>
      </w:r>
      <w:r>
        <w:t xml:space="preserve">precision is controlled by the conditioning of the template Gram</w:t>
      </w:r>
      <w:r>
        <w:t xml:space="preserve"> </w:t>
      </w:r>
      <w:r>
        <w:t xml:space="preserve">matrix, not by frequency separation alone.</w:t>
      </w:r>
    </w:p>
    <w:bookmarkEnd w:id="14"/>
    <w:bookmarkStart w:id="15" w:name="S1.p4"/>
    <w:p>
      <w:pPr>
        <w:pStyle w:val="BodyText"/>
      </w:pPr>
      <w:r>
        <w:t xml:space="preserve">The forecast literature is not naive about these correlations.</w:t>
      </w:r>
      <w:r>
        <w:t xml:space="preserve"> </w:t>
      </w:r>
      <w:r>
        <w:t xml:space="preserve">Berti, Cardoso, and Will, who introduced the criterion in the form</w:t>
      </w:r>
      <w:r>
        <w:t xml:space="preserve"> </w:t>
      </w:r>
      <w:r>
        <w:t xml:space="preserve">used here, already computed its thresholds from a joint two-mode</w:t>
      </w:r>
      <w:r>
        <w:t xml:space="preserve"> </w:t>
      </w:r>
      <w:r>
        <w:t xml:space="preserve">Fisher matrix, naming the “cross-terms” in the inner products as</w:t>
      </w:r>
      <w:r>
        <w:t xml:space="preserve"> </w:t>
      </w:r>
      <w:r>
        <w:t xml:space="preserve">the reason the same-harmonic overtone case resists closed-form</w:t>
      </w:r>
      <w:r>
        <w:t xml:space="preserve"> </w:t>
      </w:r>
      <w:r>
        <w:t xml:space="preserve">treatment [Sec. VII of [</w:t>
      </w:r>
      <w:hyperlink w:anchor="bib.bib1">
        <w:r>
          <w:rPr>
            <w:rStyle w:val="Hyperlink"/>
          </w:rPr>
          <w:t xml:space="preserve">1</w:t>
        </w:r>
      </w:hyperlink>
      <w:r>
        <w:t xml:space="preserve">]]; Ota and Chirenti</w:t>
      </w:r>
      <w:r>
        <w:t xml:space="preserve"> </w:t>
      </w:r>
      <w:r>
        <w:t xml:space="preserve">evaluate an eight-parameter joint matrix [Eq. (9) of</w:t>
      </w:r>
      <w:r>
        <w:t xml:space="preserve"> </w:t>
      </w:r>
      <w:r>
        <w:t xml:space="preserve">[</w:t>
      </w:r>
      <w:hyperlink w:anchor="bib.bib4">
        <w:r>
          <w:rPr>
            <w:rStyle w:val="Hyperlink"/>
          </w:rPr>
          <w:t xml:space="preserve">4</w:t>
        </w:r>
      </w:hyperlink>
      <w:r>
        <w:t xml:space="preserve">]], and Shi, Zhang, and Mei a twenty-six</w:t>
      </w:r>
      <w:r>
        <w:t xml:space="preserve"> </w:t>
      </w:r>
      <w:r>
        <w:t xml:space="preserve">parameter one [</w:t>
      </w:r>
      <w:hyperlink w:anchor="bib.bib5">
        <w:r>
          <w:rPr>
            <w:rStyle w:val="Hyperlink"/>
          </w:rPr>
          <w:t xml:space="preserve">5</w:t>
        </w:r>
      </w:hyperlink>
      <w:r>
        <w:t xml:space="preserve">]. What none of these works</w:t>
      </w:r>
      <w:r>
        <w:t xml:space="preserve"> </w:t>
      </w:r>
      <w:r>
        <w:t xml:space="preserve">isolates is how much of the resulting threshold is the correlation</w:t>
      </w:r>
      <w:r>
        <w:t xml:space="preserve"> </w:t>
      </w:r>
      <w:r>
        <w:t xml:space="preserve">penalty itself: the factor separating the joint-Fisher threshold</w:t>
      </w:r>
      <w:r>
        <w:t xml:space="preserve"> </w:t>
      </w:r>
      <w:r>
        <w:t xml:space="preserve">from a single-mode baseline in which each mode is analyzed as if</w:t>
      </w:r>
      <w:r>
        <w:t xml:space="preserve"> </w:t>
      </w:r>
      <w:r>
        <w:t xml:space="preserve">alone. That baseline is a diagnostic, not a position held in the</w:t>
      </w:r>
      <w:r>
        <w:t xml:space="preserve"> </w:t>
      </w:r>
      <w:r>
        <w:t xml:space="preserve">literature: the two constructions coincide exactly for orthogonal</w:t>
      </w:r>
      <w:r>
        <w:t xml:space="preserve"> </w:t>
      </w:r>
      <w:r>
        <w:t xml:space="preserve">templates, so their ratio directly measures what mode overlap costs</w:t>
      </w:r>
      <w:r>
        <w:t xml:space="preserve"> </w:t>
      </w:r>
      <w:r>
        <w:t xml:space="preserve">the criterion, and to the authors’ knowledge that ratio has not been</w:t>
      </w:r>
      <w:r>
        <w:t xml:space="preserve"> </w:t>
      </w:r>
      <w:r>
        <w:t xml:space="preserve">mapped for the astrophysically contested pairs. This paper computes</w:t>
      </w:r>
      <w:r>
        <w:t xml:space="preserve"> </w:t>
      </w:r>
      <w:r>
        <w:t xml:space="preserve">the map. The working hypothesis (H1) was that the ratio exceeds two</w:t>
      </w:r>
      <w:r>
        <w:t xml:space="preserve"> </w:t>
      </w:r>
      <w:r>
        <w:t xml:space="preserve">somewhere in parameter space, largest for the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  <m:r>
          <m:rPr>
            <m:nor/>
            <m:sty m:val="p"/>
          </m:rPr>
          <m:t>–</m:t>
        </m:r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)</m:t>
        </m:r>
      </m:oMath>
      <w:r>
        <w:t xml:space="preserve"> </w:t>
      </w:r>
      <w:r>
        <w:t xml:space="preserve">fundamental–overtone pair, the same pair contested in GW150914</w:t>
      </w:r>
      <w:r>
        <w:t xml:space="preserve"> </w:t>
      </w:r>
      <w:r>
        <w:t xml:space="preserve">[</w:t>
      </w:r>
      <w:hyperlink w:anchor="bib.bib2">
        <w:r>
          <w:rPr>
            <w:rStyle w:val="Hyperlink"/>
          </w:rPr>
          <w:t xml:space="preserve">2</w:t>
        </w:r>
      </w:hyperlink>
      <w:r>
        <w:t xml:space="preserve">,</w:t>
      </w:r>
      <w:r>
        <w:t xml:space="preserve"> </w:t>
      </w:r>
      <w:hyperlink w:anchor="bib.bib3">
        <w:r>
          <w:rPr>
            <w:rStyle w:val="Hyperlink"/>
          </w:rPr>
          <w:t xml:space="preserve">3</w:t>
        </w:r>
      </w:hyperlink>
      <w:r>
        <w:t xml:space="preserve">]. The computation returns</w:t>
      </w:r>
      <w:r>
        <w:t xml:space="preserve"> </w:t>
      </w:r>
      <w:r>
        <w:t xml:space="preserve">the strong form of H1: the factor is between 4.25 and 8.1</w:t>
      </w:r>
      <w:r>
        <w:t xml:space="preserve"> </w:t>
      </w:r>
      <w:r>
        <w:rPr>
          <w:i/>
          <w:iCs/>
        </w:rPr>
        <w:t xml:space="preserve">everywhere</w:t>
      </w:r>
      <w:r>
        <w:t xml:space="preserve"> </w:t>
      </w:r>
      <w:r>
        <w:t xml:space="preserve">on the map (median over relative phase), and near</w:t>
      </w:r>
      <w:r>
        <w:t xml:space="preserve"> </w:t>
      </w:r>
      <w:r>
        <w:t xml:space="preserve">or below 2 for a control pair.</w:t>
      </w:r>
    </w:p>
    <w:bookmarkEnd w:id="15"/>
    <w:bookmarkStart w:id="24" w:name="S1.p5"/>
    <w:p>
      <w:pPr>
        <w:pStyle w:val="BodyText"/>
      </w:pPr>
      <w:r>
        <w:t xml:space="preserve">The contributions are:</w:t>
      </w:r>
    </w:p>
    <w:p>
      <w:pPr>
        <w:pStyle w:val="Compact"/>
        <w:numPr>
          <w:ilvl w:val="0"/>
          <w:numId w:val="1001"/>
        </w:numPr>
      </w:pPr>
      <w:bookmarkStart w:id="16" w:name="S1.I1.i1"/>
      <w:r>
        <w:t xml:space="preserve">•</w:t>
      </w:r>
      <w:bookmarkEnd w:id="16"/>
    </w:p>
    <w:bookmarkStart w:id="17" w:name="S1.I1.i1.p1"/>
    <w:p>
      <w:pPr>
        <w:numPr>
          <w:ilvl w:val="0"/>
          <w:numId w:val="1000"/>
        </w:numPr>
      </w:pPr>
      <w:r>
        <w:t xml:space="preserve">both threshold constructions stated in one Fisher framework,</w:t>
      </w:r>
      <w:r>
        <w:t xml:space="preserve"> </w:t>
      </w:r>
      <w:r>
        <w:t xml:space="preserve">pinned to the anchor forecasts’ equations</w:t>
      </w:r>
      <w:r>
        <w:t xml:space="preserve"> </w:t>
      </w:r>
      <w:r>
        <w:t xml:space="preserve">(</w:t>
      </w:r>
      <w:hyperlink w:anchor="S3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III</w:t>
        </w:r>
      </w:hyperlink>
      <w:r>
        <w:t xml:space="preserve">);</w:t>
      </w:r>
    </w:p>
    <w:bookmarkEnd w:id="17"/>
    <w:p>
      <w:pPr>
        <w:pStyle w:val="Compact"/>
        <w:numPr>
          <w:ilvl w:val="0"/>
          <w:numId w:val="1001"/>
        </w:numPr>
      </w:pPr>
      <w:bookmarkStart w:id="18" w:name="S1.I1.i2"/>
      <w:r>
        <w:t xml:space="preserve">•</w:t>
      </w:r>
      <w:bookmarkEnd w:id="18"/>
    </w:p>
    <w:bookmarkStart w:id="19" w:name="S1.I1.i2.p1"/>
    <w:p>
      <w:pPr>
        <w:numPr>
          <w:ilvl w:val="0"/>
          <w:numId w:val="1000"/>
        </w:numPr>
      </w:pPr>
      <w:r>
        <w:t xml:space="preserve">a map of the correlation penalty over remnant spin and</w:t>
      </w:r>
      <w:r>
        <w:t xml:space="preserve"> </w:t>
      </w:r>
      <w:r>
        <w:t xml:space="preserve">analysis-window start, per mode pair (</w:t>
      </w:r>
      <w:hyperlink w:anchor="S5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V</w:t>
        </w:r>
      </w:hyperlink>
      <w:r>
        <w:t xml:space="preserve">);</w:t>
      </w:r>
    </w:p>
    <w:bookmarkEnd w:id="19"/>
    <w:p>
      <w:pPr>
        <w:pStyle w:val="Compact"/>
        <w:numPr>
          <w:ilvl w:val="0"/>
          <w:numId w:val="1001"/>
        </w:numPr>
      </w:pPr>
      <w:bookmarkStart w:id="20" w:name="S1.I1.i3"/>
      <w:r>
        <w:t xml:space="preserve">•</w:t>
      </w:r>
      <w:bookmarkEnd w:id="20"/>
    </w:p>
    <w:bookmarkStart w:id="21" w:name="S1.I1.i3.p1"/>
    <w:p>
      <w:pPr>
        <w:numPr>
          <w:ilvl w:val="0"/>
          <w:numId w:val="1000"/>
        </w:numPr>
      </w:pPr>
      <w:r>
        <w:t xml:space="preserve">a closed form for the template overlap that sets the</w:t>
      </w:r>
      <w:r>
        <w:t xml:space="preserve"> </w:t>
      </w:r>
      <w:r>
        <w:t xml:space="preserve">penalty’s scale, showing it is governed by the damping-time</w:t>
      </w:r>
      <w:r>
        <w:t xml:space="preserve"> </w:t>
      </w:r>
      <w:r>
        <w:t xml:space="preserve">ratio rather than the frequency splitting, plus exact</w:t>
      </w:r>
      <w:r>
        <w:t xml:space="preserve"> </w:t>
      </w:r>
      <w:r>
        <w:t xml:space="preserve">invariances with one-line proofs</w:t>
      </w:r>
      <w:r>
        <w:t xml:space="preserve"> </w:t>
      </w:r>
      <w:r>
        <w:t xml:space="preserve">(</w:t>
      </w:r>
      <w:hyperlink w:anchor="S3.SS2">
        <w:r>
          <w:rPr>
            <w:rStyle w:val="Hyperlink"/>
          </w:rPr>
          <w:t xml:space="preserve">Sections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III-B</w:t>
        </w:r>
      </w:hyperlink>
      <w:r>
        <w:t xml:space="preserve"> </w:t>
      </w:r>
      <w:r>
        <w:t xml:space="preserve">and </w:t>
      </w:r>
      <w:hyperlink w:anchor="S6">
        <w:r>
          <w:rPr>
            <w:rStyle w:val="Hyperlink"/>
          </w:rPr>
          <w:t xml:space="preserve">VI</w:t>
        </w:r>
      </w:hyperlink>
      <w:r>
        <w:t xml:space="preserve">);</w:t>
      </w:r>
    </w:p>
    <w:bookmarkEnd w:id="21"/>
    <w:p>
      <w:pPr>
        <w:pStyle w:val="Compact"/>
        <w:numPr>
          <w:ilvl w:val="0"/>
          <w:numId w:val="1001"/>
        </w:numPr>
      </w:pPr>
      <w:bookmarkStart w:id="22" w:name="S1.I1.i4"/>
      <w:r>
        <w:t xml:space="preserve">•</w:t>
      </w:r>
      <w:bookmarkEnd w:id="22"/>
    </w:p>
    <w:bookmarkStart w:id="23" w:name="S1.I1.i4.p1"/>
    <w:p>
      <w:pPr>
        <w:numPr>
          <w:ilvl w:val="0"/>
          <w:numId w:val="1000"/>
        </w:numPr>
      </w:pPr>
      <w:r>
        <w:t xml:space="preserve">a reproducible pipeline (laptop-scale; the full map runs in</w:t>
      </w:r>
      <w:r>
        <w:t xml:space="preserve"> </w:t>
      </w:r>
      <w:r>
        <w:t xml:space="preserve">about six minutes;</w:t>
      </w:r>
      <w:r>
        <w:t xml:space="preserve"> </w:t>
      </w:r>
      <w:hyperlink w:anchor="S4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IV</w:t>
        </w:r>
      </w:hyperlink>
      <w:r>
        <w:t xml:space="preserve">).</w:t>
      </w:r>
    </w:p>
    <w:bookmarkEnd w:id="23"/>
    <w:bookmarkEnd w:id="24"/>
    <w:bookmarkStart w:id="25" w:name="S1.p6"/>
    <w:p>
      <w:pPr>
        <w:pStyle w:val="FirstParagraph"/>
      </w:pPr>
      <w:r>
        <w:t xml:space="preserve">Scope is deliberately narrow. This paper analyzes no detector data,</w:t>
      </w:r>
      <w:r>
        <w:t xml:space="preserve"> </w:t>
      </w:r>
      <w:r>
        <w:t xml:space="preserve">performs no Bayesian inference, and takes no position on whether</w:t>
      </w:r>
      <w:r>
        <w:t xml:space="preserve"> </w:t>
      </w:r>
      <w:r>
        <w:t xml:space="preserve">GW150914’s overtone was real; it audits a</w:t>
      </w:r>
      <w:r>
        <w:t xml:space="preserve"> </w:t>
      </w:r>
      <w:r>
        <w:rPr>
          <w:i/>
          <w:iCs/>
        </w:rPr>
        <w:t xml:space="preserve">criterion</w:t>
      </w:r>
      <w:r>
        <w:t xml:space="preserve">, not an</w:t>
      </w:r>
      <w:r>
        <w:t xml:space="preserve"> </w:t>
      </w:r>
      <w:r>
        <w:t xml:space="preserve">event. The inner product is white-noise throughout; detector-shaped</w:t>
      </w:r>
      <w:r>
        <w:t xml:space="preserve"> </w:t>
      </w:r>
      <w:r>
        <w:t xml:space="preserve">weighting and exact reproduction of the anchors’ published horizon</w:t>
      </w:r>
      <w:r>
        <w:t xml:space="preserve"> </w:t>
      </w:r>
      <w:r>
        <w:t xml:space="preserve">numbers are the next milestones and are not claimed here.</w:t>
      </w:r>
    </w:p>
    <w:bookmarkEnd w:id="25"/>
    <w:bookmarkEnd w:id="26"/>
    <w:bookmarkStart w:id="39" w:name="S2"/>
    <w:p>
      <w:pPr>
        <w:pStyle w:val="Heading2"/>
      </w:pPr>
      <w:bookmarkStart w:id="27" w:name="ii-signal-model-and-estimation-framework"/>
      <w:r>
        <w:t xml:space="preserve">II</w:t>
      </w:r>
      <w:r>
        <w:t xml:space="preserve"> </w:t>
      </w:r>
      <w:r>
        <w:t xml:space="preserve">Signal Model and Estimation Framework</w:t>
      </w:r>
      <w:bookmarkEnd w:id="27"/>
    </w:p>
    <w:bookmarkStart w:id="32" w:name="S2.SS1"/>
    <w:p>
      <w:pPr>
        <w:pStyle w:val="Heading3"/>
      </w:pPr>
      <w:bookmarkStart w:id="28" w:name="ii-a-ringdown-model"/>
      <w:r>
        <w:t xml:space="preserve">II-A</w:t>
      </w:r>
      <w:r>
        <w:t xml:space="preserve"> </w:t>
      </w:r>
      <w:r>
        <w:t xml:space="preserve">Ringdown model</w:t>
      </w:r>
      <w:bookmarkEnd w:id="28"/>
    </w:p>
    <w:bookmarkStart w:id="31" w:name="S2.SS1.p1"/>
    <w:p>
      <w:pPr>
        <w:pStyle w:val="FirstParagraph"/>
      </w:pPr>
      <w:r>
        <w:t xml:space="preserve">The observed ringdown is modeled over a finite analysis window</w:t>
      </w:r>
      <w:r>
        <w:t xml:space="preserve"> </w:t>
      </w:r>
      <m:oMath>
        <m:r>
          <m:t>t</m:t>
        </m:r>
        <m:r>
          <m:rPr>
            <m:sty m:val="p"/>
          </m:rPr>
          <m:t>∈</m:t>
        </m:r>
        <m:r>
          <m:rPr>
            <m:sty m:val="p"/>
          </m:rPr>
          <m:t>[</m:t>
        </m:r>
        <m:sSub>
          <m:e>
            <m:r>
              <m:t>t</m:t>
            </m:r>
          </m:e>
          <m:sub>
            <m:r>
              <m:t>0</m:t>
            </m:r>
          </m:sub>
        </m:sSub>
        <m:r>
          <m:rPr>
            <m:sty m:val="p"/>
          </m:rPr>
          <m:t>,</m:t>
        </m:r>
        <m:sSub>
          <m:e>
            <m:r>
              <m:t>t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r>
          <m:t>T</m:t>
        </m:r>
        <m:r>
          <m:rPr>
            <m:sty m:val="p"/>
          </m:rPr>
          <m:t>]</m:t>
        </m:r>
      </m:oMath>
      <w:r>
        <w:t xml:space="preserve"> </w:t>
      </w:r>
      <w:r>
        <w:t xml:space="preserve">as a sum of damped sinusoids referenced to the</w:t>
      </w:r>
      <w:r>
        <w:t xml:space="preserve"> </w:t>
      </w:r>
      <w:r>
        <w:t xml:space="preserve">waveform peak at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0</m:t>
        </m:r>
      </m:oMath>
      <w:r>
        <w:t xml:space="preserve">,</w:t>
      </w:r>
    </w:p>
    <w:bookmarkStart w:id="29" w:name="S2.E1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r>
                  <m:t>h</m:t>
                </m:r>
                <m:r>
                  <m:rPr>
                    <m:sty m:val="p"/>
                  </m:rPr>
                  <m:t>(</m:t>
                </m:r>
                <m:r>
                  <m:t>t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nary>
                  <m:naryPr>
                    <m:chr m:val="∑"/>
                    <m:limLoc m:val="undOvr"/>
                    <m:subHide m:val="off"/>
                    <m:supHide m:val="on"/>
                  </m:naryPr>
                  <m:sub>
                    <m:r>
                      <m:t>k</m:t>
                    </m:r>
                  </m:sub>
                  <m:sup>
                    <m:r>
                      <m:t>​</m:t>
                    </m:r>
                  </m:sup>
                  <m:e>
                    <m:sSub>
                      <m:e>
                        <m:r>
                          <m:t>A</m:t>
                        </m:r>
                      </m:e>
                      <m:sub>
                        <m:r>
                          <m:t>k</m:t>
                        </m:r>
                      </m:sub>
                    </m:sSub>
                    <m:sSup>
                      <m:e>
                        <m:r>
                          <m:t>e</m:t>
                        </m:r>
                      </m:e>
                      <m:sup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t</m:t>
                        </m:r>
                        <m:r>
                          <m:rPr>
                            <m:sty m:val="p"/>
                          </m:rPr>
                          <m:t>/</m:t>
                        </m:r>
                        <m:sSub>
                          <m:e>
                            <m:r>
                              <m:t>τ</m:t>
                            </m:r>
                          </m:e>
                          <m:sub>
                            <m:r>
                              <m:t>k</m:t>
                            </m:r>
                          </m:sub>
                        </m:sSub>
                      </m:sup>
                    </m:sSup>
                    <m:r>
                      <m:rPr>
                        <m:sty m:val="p"/>
                      </m:rPr>
                      <m:t>cos</m:t>
                    </m:r>
                    <m:d>
                      <m:dPr>
                        <m:begChr m:val="("/>
                        <m:sepChr m:val=""/>
                        <m:endChr m:val=")"/>
                        <m:grow/>
                      </m:dPr>
                      <m:e>
                        <m:r>
                          <m:t>2</m:t>
                        </m:r>
                        <m:r>
                          <m:t>π</m:t>
                        </m:r>
                        <m:sSub>
                          <m:e>
                            <m:r>
                              <m:t>f</m:t>
                            </m:r>
                          </m:e>
                          <m:sub>
                            <m:r>
                              <m:t>k</m:t>
                            </m:r>
                          </m:sub>
                        </m:sSub>
                        <m:r>
                          <m:t>t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sSub>
                          <m:e>
                            <m:r>
                              <m:t>ϕ</m:t>
                            </m:r>
                          </m:e>
                          <m:sub>
                            <m:r>
                              <m:t>k</m:t>
                            </m:r>
                          </m:sub>
                        </m:sSub>
                      </m:e>
                    </m:d>
                  </m:e>
                </m:nary>
                <m:r>
                  <m:rPr>
                    <m:sty m:val="p"/>
                  </m:rPr>
                  <m:t>,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(1)</w:t>
            </w:r>
          </w:p>
        </w:tc>
      </w:tr>
    </w:tbl>
    <w:bookmarkEnd w:id="29"/>
    <w:p>
      <w:pPr>
        <w:pStyle w:val="BodyText"/>
      </w:pPr>
      <w:r>
        <w:t xml:space="preserve">where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runs over the mode pair under test and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sSub>
          <m:e>
            <m:r>
              <m:t>A</m:t>
            </m:r>
          </m:e>
          <m:sub>
            <m:r>
              <m:t>1</m:t>
            </m:r>
          </m:sub>
        </m:sSub>
        <m:r>
          <m:rPr>
            <m:sty m:val="p"/>
          </m:rPr>
          <m:t>/</m:t>
        </m:r>
        <m:sSub>
          <m:e>
            <m:r>
              <m:t>A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is the</w:t>
      </w:r>
      <w:r>
        <w:t xml:space="preserve"> </w:t>
      </w:r>
      <w:r>
        <w:t xml:space="preserve">amplitude ratio at the peak. The frequencies and damping times are</w:t>
      </w:r>
      <w:r>
        <w:t xml:space="preserve"> </w:t>
      </w:r>
      <w:r>
        <w:t xml:space="preserve">those of the Kerr QNMs,</w:t>
      </w:r>
    </w:p>
    <w:bookmarkStart w:id="30" w:name="S2.E2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r>
                  <m:t>2</m:t>
                </m:r>
                <m:r>
                  <m:t>π</m:t>
                </m:r>
                <m:sSub>
                  <m:e>
                    <m:r>
                      <m:t>f</m:t>
                    </m:r>
                  </m:e>
                  <m:sub>
                    <m:r>
                      <m:t>k</m:t>
                    </m:r>
                  </m:sub>
                </m:sSub>
                <m:r>
                  <m:rPr>
                    <m:sty m:val="p"/>
                  </m:rPr>
                  <m:t>−</m:t>
                </m:r>
                <m:f>
                  <m:fPr>
                    <m:type m:val="bar"/>
                  </m:fPr>
                  <m:num>
                    <m:r>
                      <m:t>i</m:t>
                    </m:r>
                  </m:num>
                  <m:den>
                    <m:sSub>
                      <m:e>
                        <m:r>
                          <m:t>τ</m:t>
                        </m:r>
                      </m:e>
                      <m:sub>
                        <m:r>
                          <m:t>k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sSub>
                      <m:e>
                        <m:acc>
                          <m:accPr>
                            <m:chr m:val="̂"/>
                          </m:accPr>
                          <m:e>
                            <m:r>
                              <m:t>ω</m:t>
                            </m:r>
                          </m:e>
                        </m:acc>
                      </m:e>
                      <m:sub>
                        <m:r>
                          <m:t>ℓ</m:t>
                        </m:r>
                        <m:r>
                          <m:t>m</m:t>
                        </m:r>
                        <m:r>
                          <m:t>n</m:t>
                        </m:r>
                      </m:sub>
                    </m:sSub>
                    <m:r>
                      <m:rPr>
                        <m:sty m:val="p"/>
                      </m:rPr>
                      <m:t>(</m:t>
                    </m:r>
                    <m:r>
                      <m:t>χ</m:t>
                    </m:r>
                    <m:r>
                      <m:rPr>
                        <m:sty m:val="p"/>
                      </m:rPr>
                      <m:t>)</m:t>
                    </m:r>
                  </m:num>
                  <m:den>
                    <m:sSub>
                      <m:e>
                        <m:r>
                          <m:t>M</m:t>
                        </m:r>
                      </m:e>
                      <m:sub>
                        <m:r>
                          <m:t>s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,</m:t>
                </m:r>
                <m:sSub>
                  <m:e>
                    <m:r>
                      <m:t>M</m:t>
                    </m:r>
                  </m:e>
                  <m:sub>
                    <m:r>
                      <m:t>s</m:t>
                    </m:r>
                  </m:sub>
                </m:sSub>
                <m:r>
                  <m:rPr>
                    <m:sty m:val="p"/>
                  </m:rPr>
                  <m:t>≡</m:t>
                </m:r>
                <m:f>
                  <m:fPr>
                    <m:type m:val="bar"/>
                  </m:fPr>
                  <m:num>
                    <m:r>
                      <m:t>G</m:t>
                    </m:r>
                    <m:r>
                      <m:t>M</m:t>
                    </m:r>
                  </m:num>
                  <m:den>
                    <m:sSup>
                      <m:e>
                        <m:r>
                          <m:t>c</m:t>
                        </m:r>
                      </m:e>
                      <m:sup>
                        <m:r>
                          <m:t>3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m:t>,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(2)</w:t>
            </w:r>
          </w:p>
        </w:tc>
      </w:tr>
    </w:tbl>
    <w:bookmarkEnd w:id="30"/>
    <w:p>
      <w:pPr>
        <w:pStyle w:val="BodyText"/>
      </w:pPr>
      <w:r>
        <w:t xml:space="preserve">with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ω</m:t>
                </m:r>
              </m:e>
            </m:acc>
          </m:e>
          <m:sub>
            <m:r>
              <m:t>ℓ</m:t>
            </m:r>
            <m:r>
              <m:t>m</m:t>
            </m:r>
            <m:r>
              <m:t>n</m:t>
            </m:r>
          </m:sub>
        </m:sSub>
        <m:r>
          <m:rPr>
            <m:sty m:val="p"/>
          </m:rPr>
          <m:t>(</m:t>
        </m:r>
        <m:r>
          <m:t>χ</m:t>
        </m:r>
        <m:r>
          <m:rPr>
            <m:sty m:val="p"/>
          </m:rPr>
          <m:t>)</m:t>
        </m:r>
      </m:oMath>
      <w:r>
        <w:t xml:space="preserve"> </w:t>
      </w:r>
      <w:r>
        <w:t xml:space="preserve">the dimensionless Kerr QNM</w:t>
      </w:r>
      <w:r>
        <w:t xml:space="preserve"> </w:t>
      </w:r>
      <w:r>
        <w:t xml:space="preserve">frequency at spin</w:t>
      </w:r>
      <w:r>
        <w:t xml:space="preserve"> </w:t>
      </w:r>
      <m:oMath>
        <m:r>
          <m:t>χ</m:t>
        </m:r>
      </m:oMath>
      <w:r>
        <w:t xml:space="preserve">, obtained by table lookup from the</w:t>
      </w:r>
      <w:r>
        <w:t xml:space="preserve"> </w:t>
      </w:r>
      <w:r>
        <w:t xml:space="preserve">qnm</w:t>
      </w:r>
      <w:r>
        <w:t xml:space="preserve"> </w:t>
      </w:r>
      <w:r>
        <w:t xml:space="preserve">package [</w:t>
      </w:r>
      <w:hyperlink w:anchor="bib.bib10">
        <w:r>
          <w:rPr>
            <w:rStyle w:val="Hyperlink"/>
          </w:rPr>
          <w:t xml:space="preserve">10</w:t>
        </w:r>
      </w:hyperlink>
      <w:r>
        <w:t xml:space="preserve">]; no QNM frequencies are</w:t>
      </w:r>
      <w:r>
        <w:t xml:space="preserve"> </w:t>
      </w:r>
      <w:r>
        <w:t xml:space="preserve">computed in this work. Here</w:t>
      </w:r>
      <w:r>
        <w:t xml:space="preserve"> </w:t>
      </w:r>
      <m:oMath>
        <m:r>
          <m:rPr>
            <m:sty m:val="p"/>
          </m:rPr>
          <m:t>(</m:t>
        </m:r>
        <m:r>
          <m:t>ℓ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)</m:t>
        </m:r>
      </m:oMath>
      <w:r>
        <w:t xml:space="preserve"> </w:t>
      </w:r>
      <w:r>
        <w:t xml:space="preserve">label the angular harmonic of</w:t>
      </w:r>
      <w:r>
        <w:t xml:space="preserve"> </w:t>
      </w:r>
      <w:r>
        <w:t xml:space="preserve">the perturbation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overtone index, which orders the modes</w:t>
      </w:r>
      <w:r>
        <w:t xml:space="preserve"> </w:t>
      </w:r>
      <w:r>
        <w:t xml:space="preserve">of a given</w:t>
      </w:r>
      <w:r>
        <w:t xml:space="preserve"> </w:t>
      </w:r>
      <m:oMath>
        <m:r>
          <m:rPr>
            <m:sty m:val="p"/>
          </m:rPr>
          <m:t>(</m:t>
        </m:r>
        <m:r>
          <m:t>ℓ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)</m:t>
        </m:r>
      </m:oMath>
      <w:r>
        <w:t xml:space="preserve"> </w:t>
      </w:r>
      <w:r>
        <w:t xml:space="preserve">by decreasing damping time: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is the</w:t>
      </w:r>
      <w:r>
        <w:t xml:space="preserve"> </w:t>
      </w:r>
      <w:r>
        <w:t xml:space="preserve">fundamental and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its first overtone, the shorter-lived mode at</w:t>
      </w:r>
      <w:r>
        <w:t xml:space="preserve"> </w:t>
      </w:r>
      <w:r>
        <w:t xml:space="preserve">nearly the same frequency. The dimensionless spin is</w:t>
      </w:r>
      <w:r>
        <w:t xml:space="preserve"> </w:t>
      </w:r>
      <m:oMath>
        <m:r>
          <m:t>χ</m:t>
        </m:r>
        <m:r>
          <m:rPr>
            <m:sty m:val="p"/>
          </m:rPr>
          <m:t>=</m:t>
        </m:r>
        <m:r>
          <m:t>c</m:t>
        </m:r>
        <m:r>
          <m:t>J</m:t>
        </m:r>
        <m:r>
          <m:rPr>
            <m:sty m:val="p"/>
          </m:rPr>
          <m:t>/</m:t>
        </m:r>
        <m:r>
          <m:rPr>
            <m:sty m:val="p"/>
          </m:rPr>
          <m:t>(</m:t>
        </m:r>
        <m:r>
          <m:t>G</m:t>
        </m:r>
        <m:sSup>
          <m:e>
            <m:r>
              <m:t>M</m:t>
            </m:r>
          </m:e>
          <m:sup>
            <m:r>
              <m:t>2</m:t>
            </m:r>
          </m:sup>
        </m:sSup>
        <m:r>
          <m:rPr>
            <m:sty m:val="p"/>
          </m:rPr>
          <m:t>)</m:t>
        </m:r>
        <m:r>
          <m:rPr>
            <m:sty m:val="p"/>
          </m:rPr>
          <m:t>∈</m:t>
        </m:r>
        <m:r>
          <m:rPr>
            <m:sty m:val="p"/>
          </m:rPr>
          <m:t>[</m:t>
        </m:r>
        <m:r>
          <m:t>0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)</m:t>
        </m:r>
      </m:oMath>
      <w:r>
        <w:t xml:space="preserve"> </w:t>
      </w:r>
      <w:r>
        <w:t xml:space="preserve">for remnant angular momentum</w:t>
      </w:r>
      <w:r>
        <w:t xml:space="preserve"> </w:t>
      </w:r>
      <m:oMath>
        <m:r>
          <m:t>J</m:t>
        </m:r>
      </m:oMath>
      <w:r>
        <w:t xml:space="preserve">, and</w:t>
      </w:r>
      <w:r>
        <w:t xml:space="preserve"> </w:t>
      </w:r>
      <w:r>
        <w:t xml:space="preserve">the map axes run over it. Time dependence is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−</m:t>
            </m:r>
            <m:r>
              <m:t>i</m:t>
            </m:r>
            <m:r>
              <m:t>ω</m:t>
            </m:r>
            <m:r>
              <m:t>t</m:t>
            </m:r>
          </m:sup>
        </m:sSup>
      </m:oMath>
      <w:r>
        <w:t xml:space="preserve"> </w:t>
      </w:r>
      <w:r>
        <w:t xml:space="preserve">throughout, so</w:t>
      </w:r>
      <w:r>
        <w:t xml:space="preserve"> </w:t>
      </w:r>
      <m:oMath>
        <m:r>
          <m:t>R</m:t>
        </m:r>
        <m:r>
          <m:t>e</m:t>
        </m:r>
        <m:acc>
          <m:accPr>
            <m:chr m:val="̂"/>
          </m:accPr>
          <m:e>
            <m:r>
              <m:t>ω</m:t>
            </m:r>
          </m:e>
        </m:acc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I</m:t>
        </m:r>
        <m:r>
          <m:t>m</m:t>
        </m:r>
        <m:acc>
          <m:accPr>
            <m:chr m:val="̂"/>
          </m:accPr>
          <m:e>
            <m:r>
              <m:t>ω</m:t>
            </m:r>
          </m:e>
        </m:acc>
        <m:r>
          <m:rPr>
            <m:sty m:val="p"/>
          </m:rPr>
          <m:t>=</m:t>
        </m:r>
        <m:r>
          <m:rPr>
            <m:sty m:val="p"/>
          </m:rPr>
          <m:t>−</m:t>
        </m:r>
        <m:sSub>
          <m:e>
            <m:r>
              <m:t>M</m:t>
            </m:r>
          </m:e>
          <m:sub>
            <m:r>
              <m:t>s</m:t>
            </m:r>
          </m:sub>
        </m:sSub>
        <m:r>
          <m:rPr>
            <m:sty m:val="p"/>
          </m:rPr>
          <m:t>/</m:t>
        </m:r>
        <m:r>
          <m:t>τ</m:t>
        </m:r>
        <m:r>
          <m:rPr>
            <m:sty m:val="p"/>
          </m:rPr>
          <m:t>&lt;</m:t>
        </m:r>
        <m:r>
          <m:t>0</m:t>
        </m:r>
      </m:oMath>
      <w:r>
        <w:t xml:space="preserve">; the code takes</w:t>
      </w:r>
      <w:r>
        <w:t xml:space="preserve"> </w:t>
      </w:r>
      <m:oMath>
        <m:r>
          <m:t>f</m:t>
        </m:r>
        <m:r>
          <m:rPr>
            <m:sty m:val="p"/>
          </m:rPr>
          <m:t>=</m:t>
        </m:r>
        <m:r>
          <m:t>R</m:t>
        </m:r>
        <m:r>
          <m:t>e</m:t>
        </m:r>
        <m:acc>
          <m:accPr>
            <m:chr m:val="̂"/>
          </m:accPr>
          <m:e>
            <m:r>
              <m:t>ω</m:t>
            </m:r>
          </m:e>
        </m:acc>
        <m:r>
          <m:rPr>
            <m:sty m:val="p"/>
          </m:rPr>
          <m:t>/</m:t>
        </m:r>
        <m:r>
          <m:t>2</m:t>
        </m:r>
        <m:r>
          <m:t>π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τ</m:t>
        </m:r>
        <m:r>
          <m:rPr>
            <m:sty m:val="p"/>
          </m:rPr>
          <m:t>=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/</m:t>
        </m:r>
        <m:r>
          <m:t>I</m:t>
        </m:r>
        <m:r>
          <m:t>m</m:t>
        </m:r>
        <m:acc>
          <m:accPr>
            <m:chr m:val="̂"/>
          </m:accPr>
          <m:e>
            <m:r>
              <m:t>ω</m:t>
            </m:r>
          </m:e>
        </m:acc>
      </m:oMath>
      <w:r>
        <w:t xml:space="preserve"> </w:t>
      </w:r>
      <w:r>
        <w:t xml:space="preserve">in units of</w:t>
      </w:r>
      <w:r>
        <w:t xml:space="preserve"> </w:t>
      </w:r>
      <m:oMath>
        <m:r>
          <m:t>M</m:t>
        </m:r>
      </m:oMath>
      <w:r>
        <w:t xml:space="preserve">.</w:t>
      </w:r>
      <w:r>
        <w:t xml:space="preserve"> </w:t>
      </w:r>
      <w:r>
        <w:t xml:space="preserve">At</w:t>
      </w:r>
      <w:r>
        <w:t xml:space="preserve"> </w:t>
      </w:r>
      <m:oMath>
        <m:r>
          <m:t>χ</m:t>
        </m:r>
        <m:r>
          <m:rPr>
            <m:sty m:val="p"/>
          </m:rPr>
          <m:t>=</m:t>
        </m:r>
        <m:r>
          <m:t>0.69</m:t>
        </m:r>
      </m:oMath>
      <w:r>
        <w:t xml:space="preserve"> </w:t>
      </w:r>
      <w:r>
        <w:t xml:space="preserve">the pair of interest has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f</m:t>
                </m:r>
              </m:e>
            </m:acc>
          </m:e>
          <m:sub>
            <m:r>
              <m:t>220</m:t>
            </m:r>
          </m:sub>
        </m:sSub>
        <m:r>
          <m:rPr>
            <m:sty m:val="p"/>
          </m:rPr>
          <m:t>=</m:t>
        </m:r>
        <m:r>
          <m:t>0.0841</m:t>
        </m:r>
      </m:oMath>
      <w:r>
        <w:t xml:space="preserve">,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τ</m:t>
                </m:r>
              </m:e>
            </m:acc>
          </m:e>
          <m:sub>
            <m:r>
              <m:t>220</m:t>
            </m:r>
          </m:sub>
        </m:sSub>
        <m:r>
          <m:rPr>
            <m:sty m:val="p"/>
          </m:rPr>
          <m:t>=</m:t>
        </m:r>
        <m:r>
          <m:t>12.3</m:t>
        </m:r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f</m:t>
                </m:r>
              </m:e>
            </m:acc>
          </m:e>
          <m:sub>
            <m:r>
              <m:t>221</m:t>
            </m:r>
          </m:sub>
        </m:sSub>
        <m:r>
          <m:rPr>
            <m:sty m:val="p"/>
          </m:rPr>
          <m:t>=</m:t>
        </m:r>
        <m:r>
          <m:t>0.0822</m:t>
        </m:r>
      </m:oMath>
      <w:r>
        <w:t xml:space="preserve">,</w:t>
      </w:r>
      <w:r>
        <w:t xml:space="preserve"> </w:t>
      </w:r>
      <m:oMath>
        <m:sSub>
          <m:e>
            <m:acc>
              <m:accPr>
                <m:chr m:val="̂"/>
              </m:accPr>
              <m:e>
                <m:r>
                  <m:t>τ</m:t>
                </m:r>
              </m:e>
            </m:acc>
          </m:e>
          <m:sub>
            <m:r>
              <m:t>221</m:t>
            </m:r>
          </m:sub>
        </m:sSub>
        <m:r>
          <m:rPr>
            <m:sty m:val="p"/>
          </m:rPr>
          <m:t>=</m:t>
        </m:r>
        <m:r>
          <m:t>4.07</m:t>
        </m:r>
        <m:r>
          <m:t>M</m:t>
        </m:r>
      </m:oMath>
      <w:r>
        <w:t xml:space="preserve">: a frequency splitting</w:t>
      </w:r>
      <w:r>
        <w:t xml:space="preserve"> </w:t>
      </w:r>
      <w:r>
        <w:t xml:space="preserve">of only</w:t>
      </w:r>
      <w:r>
        <w:t xml:space="preserve"> </w:t>
      </w:r>
      <m:oMath>
        <m:r>
          <m:t>2.2</m:t>
        </m:r>
        <m:r>
          <m:rPr>
            <m:sty m:val="p"/>
          </m:rPr>
          <m:t>%</m:t>
        </m:r>
      </m:oMath>
      <w:r>
        <w:t xml:space="preserve"> </w:t>
      </w:r>
      <w:r>
        <w:t xml:space="preserve">against damping times differing by a factor of three.</w:t>
      </w:r>
    </w:p>
    <w:bookmarkEnd w:id="31"/>
    <w:bookmarkEnd w:id="32"/>
    <w:bookmarkStart w:id="38" w:name="S2.SS2"/>
    <w:p>
      <w:pPr>
        <w:pStyle w:val="Heading3"/>
      </w:pPr>
      <w:bookmarkStart w:id="33" w:name="ii-b-inner-product-snr-and-fisher-matrix"/>
      <w:r>
        <w:t xml:space="preserve">II-B</w:t>
      </w:r>
      <w:r>
        <w:t xml:space="preserve"> </w:t>
      </w:r>
      <w:r>
        <w:t xml:space="preserve">Inner product, SNR, and Fisher matrix</w:t>
      </w:r>
      <w:bookmarkEnd w:id="33"/>
    </w:p>
    <w:bookmarkStart w:id="35" w:name="S2.SS2.p1"/>
    <w:p>
      <w:pPr>
        <w:pStyle w:val="FirstParagraph"/>
      </w:pPr>
      <w:r>
        <w:t xml:space="preserve">For white noise of one-sided power spectral density</w:t>
      </w:r>
      <w:r>
        <w:t xml:space="preserve"> </w:t>
      </w:r>
      <m:oMath>
        <m:sSub>
          <m:e>
            <m:r>
              <m:t>S</m:t>
            </m:r>
          </m:e>
          <m:sub>
            <m:r>
              <m:t>0</m:t>
            </m:r>
          </m:sub>
        </m:sSub>
      </m:oMath>
      <w:r>
        <w:t xml:space="preserve">, the</w:t>
      </w:r>
      <w:r>
        <w:t xml:space="preserve"> </w:t>
      </w:r>
      <w:r>
        <w:t xml:space="preserve">noise-weighted inner product over the window is</w:t>
      </w:r>
    </w:p>
    <w:bookmarkStart w:id="34" w:name="S2.E3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d>
                  <m:dPr>
                    <m:begChr m:val=""/>
                    <m:sepChr m:val="|"/>
                    <m:endChr m:val=""/>
                    <m:grow/>
                  </m:dPr>
                  <m:e>
                    <m:r>
                      <m:rPr>
                        <m:sty m:val="p"/>
                      </m:rPr>
                      <m:t>⟨</m:t>
                    </m:r>
                    <m:r>
                      <m:t>a</m:t>
                    </m:r>
                  </m:e>
                  <m:e>
                    <m:r>
                      <m:t>b</m:t>
                    </m:r>
                    <m:r>
                      <m:rPr>
                        <m:sty m:val="p"/>
                      </m:rPr>
                      <m:t>⟩</m:t>
                    </m:r>
                  </m:e>
                </m:d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sSub>
                      <m:e>
                        <m:r>
                          <m:t>S</m:t>
                        </m:r>
                      </m:e>
                      <m:sub>
                        <m:r>
                          <m:t>0</m:t>
                        </m:r>
                      </m:sub>
                    </m:sSub>
                  </m:den>
                </m:f>
                <m:nary>
                  <m:naryPr>
                    <m:chr m:val="∫"/>
                    <m:limLoc m:val="subSup"/>
                    <m:subHide m:val="off"/>
                    <m:supHide m:val="off"/>
                  </m:naryPr>
                  <m:sub>
                    <m:sSub>
                      <m:e>
                        <m:r>
                          <m:t>t</m:t>
                        </m:r>
                      </m:e>
                      <m:sub>
                        <m:r>
                          <m:t>0</m:t>
                        </m:r>
                      </m:sub>
                    </m:sSub>
                  </m:sub>
                  <m:sup>
                    <m:sSub>
                      <m:e>
                        <m:r>
                          <m:t>t</m:t>
                        </m:r>
                      </m:e>
                      <m:sub>
                        <m: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m:t>+</m:t>
                    </m:r>
                    <m:r>
                      <m:t>T</m:t>
                    </m:r>
                  </m:sup>
                  <m:e>
                    <m:r>
                      <m:t>a</m:t>
                    </m:r>
                    <m:r>
                      <m:rPr>
                        <m:sty m:val="p"/>
                      </m:rPr>
                      <m:t>(</m:t>
                    </m:r>
                    <m:r>
                      <m:t>t</m:t>
                    </m:r>
                    <m:r>
                      <m:rPr>
                        <m:sty m:val="p"/>
                      </m:rPr>
                      <m:t>)</m:t>
                    </m:r>
                    <m:r>
                      <m:t>b</m:t>
                    </m:r>
                    <m:r>
                      <m:rPr>
                        <m:sty m:val="p"/>
                      </m:rPr>
                      <m:t>(</m:t>
                    </m:r>
                    <m:r>
                      <m:t>t</m:t>
                    </m:r>
                    <m:r>
                      <m:rPr>
                        <m:sty m:val="p"/>
                      </m:rPr>
                      <m:t>)</m:t>
                    </m:r>
                    <m:r>
                      <m:t>d</m:t>
                    </m:r>
                    <m:r>
                      <m:t>t</m:t>
                    </m:r>
                  </m:e>
                </m:nary>
                <m:r>
                  <m:rPr>
                    <m:sty m:val="p"/>
                  </m:rPr>
                  <m:t>,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(3)</w:t>
            </w:r>
          </w:p>
        </w:tc>
      </w:tr>
    </w:tbl>
    <w:bookmarkEnd w:id="34"/>
    <w:p>
      <w:pPr>
        <w:pStyle w:val="BodyText"/>
      </w:pPr>
      <w:r>
        <w:t xml:space="preserve">and the total SNR is</w:t>
      </w:r>
      <w:r>
        <w:t xml:space="preserve"> </w:t>
      </w:r>
      <m:oMath>
        <m:sSup>
          <m:e>
            <m:r>
              <m:t>ρ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d>
          <m:dPr>
            <m:begChr m:val=""/>
            <m:sepChr m:val="|"/>
            <m:endChr m:val=""/>
            <m:grow/>
          </m:dPr>
          <m:e>
            <m:r>
              <m:rPr>
                <m:sty m:val="p"/>
              </m:rPr>
              <m:t>⟨</m:t>
            </m:r>
            <m:r>
              <m:t>h</m:t>
            </m:r>
          </m:e>
          <m:e>
            <m:r>
              <m:t>h</m:t>
            </m:r>
            <m:r>
              <m:rPr>
                <m:sty m:val="p"/>
              </m:rPr>
              <m:t>⟩</m:t>
            </m:r>
          </m:e>
        </m:d>
      </m:oMath>
      <w:r>
        <w:t xml:space="preserve">. With time measured in</w:t>
      </w:r>
      <w:r>
        <w:t xml:space="preserve"> </w:t>
      </w:r>
      <w:r>
        <w:t xml:space="preserve">units of</w:t>
      </w:r>
      <w:r>
        <w:t xml:space="preserve"> </w:t>
      </w:r>
      <m:oMath>
        <m:r>
          <m:t>M</m:t>
        </m:r>
      </m:oMath>
      <w:r>
        <w:t xml:space="preserve">, every quantity entering the analysis is dimensionless,</w:t>
      </w:r>
      <w:r>
        <w:t xml:space="preserve"> </w:t>
      </w:r>
      <w:r>
        <w:t xml:space="preserve">so the results below are exactly independent of the remnant mass; the</w:t>
      </w:r>
      <w:r>
        <w:t xml:space="preserve"> </w:t>
      </w:r>
      <w:r>
        <w:t xml:space="preserve">map axes are spin and window start in units of</w:t>
      </w:r>
      <w:r>
        <w:t xml:space="preserve"> </w:t>
      </w:r>
      <m:oMath>
        <m:r>
          <m:t>M</m:t>
        </m:r>
      </m:oMath>
      <w:r>
        <w:t xml:space="preserve">.</w:t>
      </w:r>
    </w:p>
    <w:bookmarkEnd w:id="35"/>
    <w:bookmarkStart w:id="37" w:name="S2.SS2.p2"/>
    <w:p>
      <w:pPr>
        <w:pStyle w:val="BodyText"/>
      </w:pPr>
      <w:r>
        <w:t xml:space="preserve">For parameters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r>
          <m:rPr>
            <m:sty m:val="p"/>
          </m:rPr>
          <m:t>{</m:t>
        </m:r>
        <m:sSub>
          <m:e>
            <m:r>
              <m:t>A</m:t>
            </m:r>
          </m:e>
          <m:sub>
            <m:r>
              <m:t>k</m:t>
            </m:r>
          </m:sub>
        </m:sSub>
        <m:r>
          <m:rPr>
            <m:sty m:val="p"/>
          </m:rPr>
          <m:t>,</m:t>
        </m:r>
        <m:sSub>
          <m:e>
            <m:r>
              <m:t>ϕ</m:t>
            </m:r>
          </m:e>
          <m:sub>
            <m:r>
              <m:t>k</m:t>
            </m:r>
          </m:sub>
        </m:sSub>
        <m:r>
          <m:rPr>
            <m:sty m:val="p"/>
          </m:rPr>
          <m:t>,</m:t>
        </m:r>
        <m:sSub>
          <m:e>
            <m:r>
              <m:t>f</m:t>
            </m:r>
          </m:e>
          <m:sub>
            <m:r>
              <m:t>k</m:t>
            </m:r>
          </m:sub>
        </m:sSub>
        <m:r>
          <m:rPr>
            <m:sty m:val="p"/>
          </m:rPr>
          <m:t>,</m:t>
        </m:r>
        <m:sSub>
          <m:e>
            <m:r>
              <m:t>τ</m:t>
            </m:r>
          </m:e>
          <m:sub>
            <m:r>
              <m:t>k</m:t>
            </m:r>
          </m:sub>
        </m:sSub>
        <m:r>
          <m:rPr>
            <m:sty m:val="p"/>
          </m:rPr>
          <m:t>}</m:t>
        </m:r>
      </m:oMath>
      <w:r>
        <w:t xml:space="preserve">, the Fisher</w:t>
      </w:r>
      <w:r>
        <w:t xml:space="preserve"> </w:t>
      </w:r>
      <w:r>
        <w:t xml:space="preserve">matrix and the Cramér–Rao bound on any unbiased estimator are</w:t>
      </w:r>
    </w:p>
    <w:bookmarkStart w:id="36" w:name="S2.E4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sSub>
                  <m:e>
                    <m:r>
                      <m:rPr>
                        <m:sty m:val="p"/>
                      </m:rPr>
                      <m:t>Γ</m:t>
                    </m:r>
                  </m:e>
                  <m:sub>
                    <m:r>
                      <m:t>i</m:t>
                    </m:r>
                    <m:r>
                      <m:t>j</m:t>
                    </m:r>
                  </m:sub>
                </m:sSub>
                <m:r>
                  <m:rPr>
                    <m:sty m:val="p"/>
                  </m:rPr>
                  <m:t>=</m:t>
                </m:r>
                <m:d>
                  <m:dPr>
                    <m:begChr m:val=""/>
                    <m:sepChr m:val="|"/>
                    <m:endChr m:val=""/>
                    <m:grow/>
                  </m:dPr>
                  <m:e>
                    <m:r>
                      <m:rPr>
                        <m:sty m:val="p"/>
                      </m:rPr>
                      <m:t>⟨</m:t>
                    </m:r>
                    <m:sSub>
                      <m:e>
                        <m:r>
                          <m:rPr>
                            <m:sty m:val="p"/>
                          </m:rPr>
                          <m:t>∂</m:t>
                        </m:r>
                      </m:e>
                      <m:sub>
                        <m:r>
                          <m:t>i</m:t>
                        </m:r>
                      </m:sub>
                    </m:sSub>
                    <m:r>
                      <m:t>h</m:t>
                    </m:r>
                  </m:e>
                  <m:e>
                    <m:sSub>
                      <m:e>
                        <m:r>
                          <m:rPr>
                            <m:sty m:val="p"/>
                          </m:rPr>
                          <m:t>∂</m:t>
                        </m:r>
                      </m:e>
                      <m:sub>
                        <m:r>
                          <m:t>j</m:t>
                        </m:r>
                      </m:sub>
                    </m:sSub>
                    <m:r>
                      <m:t>h</m:t>
                    </m:r>
                    <m:r>
                      <m:rPr>
                        <m:sty m:val="p"/>
                      </m:rPr>
                      <m:t>⟩</m:t>
                    </m:r>
                  </m:e>
                </m:d>
                <m:r>
                  <m:rPr>
                    <m:sty m:val="p"/>
                  </m:rPr>
                  <m:t>,</m:t>
                </m:r>
                <m:sSub>
                  <m:e>
                    <m:r>
                      <m:t>σ</m:t>
                    </m:r>
                  </m:e>
                  <m:sub>
                    <m:sSub>
                      <m:e>
                        <m:r>
                          <m:t>θ</m:t>
                        </m:r>
                      </m:e>
                      <m:sub>
                        <m:r>
                          <m:t>i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m:t>≥</m:t>
                </m:r>
                <m:rad>
                  <m:radPr>
                    <m:degHide m:val="on"/>
                  </m:radPr>
                  <m:deg/>
                  <m:e>
                    <m:sSub>
                      <m:e>
                        <m:r>
                          <m:rPr>
                            <m:sty m:val="p"/>
                          </m:rPr>
                          <m:t>(</m:t>
                        </m:r>
                        <m:sSup>
                          <m:e>
                            <m:r>
                              <m:rPr>
                                <m:sty m:val="p"/>
                              </m:rPr>
                              <m:t>Γ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m:t>)</m:t>
                        </m:r>
                      </m:e>
                      <m:sub>
                        <m:r>
                          <m:t>i</m:t>
                        </m:r>
                        <m:r>
                          <m:t>i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m:t>.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(4)</w:t>
            </w:r>
          </w:p>
        </w:tc>
      </w:tr>
    </w:tbl>
    <w:bookmarkEnd w:id="36"/>
    <w:p>
      <w:pPr>
        <w:pStyle w:val="BodyText"/>
      </w:pPr>
      <w:r>
        <w:t xml:space="preserve">All statistical uncertainties below are Fisher-level; this matches the</w:t>
      </w:r>
      <w:r>
        <w:t xml:space="preserve"> </w:t>
      </w:r>
      <w:r>
        <w:t xml:space="preserve">anchor forecasts and is the regime where the Rayleigh criterion is</w:t>
      </w:r>
      <w:r>
        <w:t xml:space="preserve"> </w:t>
      </w:r>
      <w:r>
        <w:t xml:space="preserve">stated.</w:t>
      </w:r>
    </w:p>
    <w:bookmarkEnd w:id="37"/>
    <w:bookmarkEnd w:id="38"/>
    <w:bookmarkEnd w:id="39"/>
    <w:bookmarkStart w:id="56" w:name="S3"/>
    <w:p>
      <w:pPr>
        <w:pStyle w:val="Heading2"/>
      </w:pPr>
      <w:bookmarkStart w:id="40" w:name="iii-two-constructions-of-one-criterion"/>
      <w:r>
        <w:t xml:space="preserve">III</w:t>
      </w:r>
      <w:r>
        <w:t xml:space="preserve"> </w:t>
      </w:r>
      <w:r>
        <w:t xml:space="preserve">Two Constructions of One Criterion</w:t>
      </w:r>
      <w:bookmarkEnd w:id="40"/>
    </w:p>
    <w:bookmarkStart w:id="49" w:name="S3.SS1"/>
    <w:p>
      <w:pPr>
        <w:pStyle w:val="Heading3"/>
      </w:pPr>
      <w:bookmarkStart w:id="41" w:name="iii-a-the-rayleigh-criterion"/>
      <w:r>
        <w:t xml:space="preserve">III-A</w:t>
      </w:r>
      <w:r>
        <w:t xml:space="preserve"> </w:t>
      </w:r>
      <w:r>
        <w:t xml:space="preserve">The Rayleigh criterion</w:t>
      </w:r>
      <w:bookmarkEnd w:id="41"/>
    </w:p>
    <w:bookmarkStart w:id="48" w:name="S3.SS1.p1"/>
    <w:p>
      <w:pPr>
        <w:pStyle w:val="FirstParagraph"/>
      </w:pPr>
      <w:r>
        <w:t xml:space="preserve">Following Berti, Cardoso, and Will [Eqs. (57)–(59) of</w:t>
      </w:r>
      <w:r>
        <w:t xml:space="preserve"> </w:t>
      </w:r>
      <w:r>
        <w:t xml:space="preserve">[</w:t>
      </w:r>
      <w:hyperlink w:anchor="bib.bib1">
        <w:r>
          <w:rPr>
            <w:rStyle w:val="Hyperlink"/>
          </w:rPr>
          <w:t xml:space="preserve">1</w:t>
        </w:r>
      </w:hyperlink>
      <w:r>
        <w:t xml:space="preserve">]], as adopted by Ota and Chirenti</w:t>
      </w:r>
      <w:r>
        <w:t xml:space="preserve"> </w:t>
      </w:r>
      <w:r>
        <w:t xml:space="preserve">[Eqs. (6a)–(6b) of [</w:t>
      </w:r>
      <w:hyperlink w:anchor="bib.bib4">
        <w:r>
          <w:rPr>
            <w:rStyle w:val="Hyperlink"/>
          </w:rPr>
          <w:t xml:space="preserve">4</w:t>
        </w:r>
      </w:hyperlink>
      <w:r>
        <w:t xml:space="preserve">]], the pair is resolvable</w:t>
      </w:r>
      <w:r>
        <w:t xml:space="preserve"> </w:t>
      </w:r>
      <w:r>
        <w:t xml:space="preserve">at SNR</w:t>
      </w:r>
      <w:r>
        <w:t xml:space="preserve"> </w:t>
      </w:r>
      <m:oMath>
        <m:r>
          <m:t>ρ</m:t>
        </m:r>
      </m:oMath>
      <w:r>
        <w:t xml:space="preserve"> </w:t>
      </w:r>
      <w:r>
        <w:t xml:space="preserve">when</w:t>
      </w:r>
      <w:r>
        <w:t xml:space="preserve"> </w:t>
      </w:r>
      <w:r>
        <w:t xml:space="preserve">both separations clear the larger of the corresponding uncertainties,</w:t>
      </w:r>
    </w:p>
    <w:bookmarkStart w:id="42" w:name="S3.E5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m:t>|</m:t>
                </m:r>
                <m:sSub>
                  <m:e>
                    <m:r>
                      <m:t>f</m:t>
                    </m:r>
                  </m:e>
                  <m:sub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−</m:t>
                </m:r>
                <m:sSub>
                  <m:e>
                    <m:r>
                      <m:t>f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|</m:t>
                </m:r>
                <m:r>
                  <m:rPr>
                    <m:sty m:val="p"/>
                  </m:rPr>
                  <m:t>&gt;</m:t>
                </m:r>
                <m:r>
                  <m:rPr>
                    <m:sty m:val="p"/>
                  </m:rPr>
                  <m:t>max</m:t>
                </m:r>
                <m:r>
                  <m:rPr>
                    <m:sty m:val="p"/>
                  </m:rPr>
                  <m:t>(</m:t>
                </m:r>
                <m:sSub>
                  <m:e>
                    <m:r>
                      <m:t>σ</m:t>
                    </m:r>
                  </m:e>
                  <m:sub>
                    <m:sSub>
                      <m:e>
                        <m:r>
                          <m:t>f</m:t>
                        </m:r>
                      </m:e>
                      <m:sub>
                        <m:r>
                          <m:t>0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r>
                      <m:t>σ</m:t>
                    </m:r>
                  </m:e>
                  <m:sub>
                    <m:sSub>
                      <m:e>
                        <m:r>
                          <m:t>f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m:t>)</m:t>
                </m:r>
                <m:r>
                  <m:rPr>
                    <m:nor/>
                    <m:sty m:val="p"/>
                  </m:rPr>
                  <m:t>and</m:t>
                </m:r>
                <m:r>
                  <m:rPr>
                    <m:sty m:val="p"/>
                  </m:rPr>
                  <m:t>|</m:t>
                </m:r>
                <m:sSub>
                  <m:e>
                    <m:r>
                      <m:t>τ</m:t>
                    </m:r>
                  </m:e>
                  <m:sub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−</m:t>
                </m:r>
                <m:sSub>
                  <m:e>
                    <m:r>
                      <m:t>τ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|</m:t>
                </m:r>
                <m:r>
                  <m:rPr>
                    <m:sty m:val="p"/>
                  </m:rPr>
                  <m:t>&gt;</m:t>
                </m:r>
                <m:r>
                  <m:rPr>
                    <m:sty m:val="p"/>
                  </m:rPr>
                  <m:t>max</m:t>
                </m:r>
                <m:r>
                  <m:rPr>
                    <m:sty m:val="p"/>
                  </m:rPr>
                  <m:t>(</m:t>
                </m:r>
                <m:sSub>
                  <m:e>
                    <m:r>
                      <m:t>σ</m:t>
                    </m:r>
                  </m:e>
                  <m:sub>
                    <m:sSub>
                      <m:e>
                        <m:r>
                          <m:t>τ</m:t>
                        </m:r>
                      </m:e>
                      <m:sub>
                        <m:r>
                          <m:t>0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r>
                      <m:t>σ</m:t>
                    </m:r>
                  </m:e>
                  <m:sub>
                    <m:sSub>
                      <m:e>
                        <m:r>
                          <m:t>τ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sub>
                </m:sSub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.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(5)</w:t>
            </w:r>
          </w:p>
        </w:tc>
      </w:tr>
    </w:tbl>
    <w:bookmarkEnd w:id="42"/>
    <w:p>
      <w:pPr>
        <w:pStyle w:val="BodyText"/>
      </w:pPr>
      <w:r>
        <w:t xml:space="preserve">Every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scales as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>
          <m:t>ρ</m:t>
        </m:r>
      </m:oMath>
      <w:r>
        <w:t xml:space="preserve"> </w:t>
      </w:r>
      <w:r>
        <w:t xml:space="preserve">at fixed signal shape, so</w:t>
      </w:r>
      <w:r>
        <w:t xml:space="preserve"> </w:t>
      </w:r>
      <w:hyperlink w:anchor="S3.E5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 </w:t>
      </w:r>
      <w:r>
        <w:t xml:space="preserve">defines a critical SNR: the smallest</w:t>
      </w:r>
      <w:r>
        <w:t xml:space="preserve"> </w:t>
      </w:r>
      <m:oMath>
        <m:r>
          <m:t>ρ</m:t>
        </m:r>
      </m:oMath>
      <w:r>
        <w:t xml:space="preserve"> </w:t>
      </w:r>
      <w:r>
        <w:t xml:space="preserve">at</w:t>
      </w:r>
      <w:r>
        <w:t xml:space="preserve"> </w:t>
      </w:r>
      <w:r>
        <w:t xml:space="preserve">which both conditions hold. The two constructions differ only in the</w:t>
      </w:r>
      <w:r>
        <w:t xml:space="preserve"> </w:t>
      </w:r>
      <w:r>
        <w:t xml:space="preserve">Fisher matrix that supplies the</w:t>
      </w:r>
      <w:r>
        <w:t xml:space="preserve"> </w:t>
      </w:r>
      <m:oMath>
        <m:r>
          <m:t>σ</m:t>
        </m:r>
      </m:oMath>
      <w:r>
        <w:t xml:space="preserve">’s:</w:t>
      </w:r>
    </w:p>
    <w:p>
      <w:pPr>
        <w:pStyle w:val="Compact"/>
        <w:numPr>
          <w:ilvl w:val="0"/>
          <w:numId w:val="1002"/>
        </w:numPr>
      </w:pPr>
      <w:bookmarkStart w:id="43" w:name="S3.I1.i1"/>
      <w:r>
        <w:t xml:space="preserve">•</w:t>
      </w:r>
      <w:bookmarkEnd w:id="43"/>
    </w:p>
    <w:bookmarkStart w:id="44" w:name="S3.I1.i1.p1"/>
    <w:p>
      <w:pPr>
        <w:numPr>
          <w:ilvl w:val="0"/>
          <w:numId w:val="1000"/>
        </w:numPr>
      </w:pPr>
      <w:r>
        <w:rPr>
          <w:i/>
          <w:iCs/>
        </w:rPr>
        <w:t xml:space="preserve">single-mode baseline</w:t>
      </w:r>
      <w:r>
        <w:t xml:space="preserve">, critical SNR</w:t>
      </w:r>
      <w:r>
        <w:t xml:space="preserve"> </w:t>
      </w:r>
      <m:oMath>
        <m:sSub>
          <m:e>
            <m:r>
              <m:t>ρ</m:t>
            </m:r>
          </m:e>
          <m:sub>
            <m:r>
              <m:t>R</m:t>
            </m:r>
          </m:sub>
        </m:sSub>
      </m:oMath>
      <w:r>
        <w:t xml:space="preserve">: each</w:t>
      </w:r>
      <w:r>
        <w:t xml:space="preserve"> </w:t>
      </w:r>
      <w:r>
        <w:t xml:space="preserve">mode’s</w:t>
      </w:r>
      <w:r>
        <w:t xml:space="preserve"> </w:t>
      </w:r>
      <m:oMath>
        <m:r>
          <m:rPr>
            <m:sty m:val="p"/>
          </m:rPr>
          <m:t>(</m:t>
        </m:r>
        <m:r>
          <m:t>A</m:t>
        </m:r>
        <m:r>
          <m:rPr>
            <m:sty m:val="p"/>
          </m:rPr>
          <m:t>,</m:t>
        </m:r>
        <m:r>
          <m:t>ϕ</m:t>
        </m:r>
        <m:r>
          <m:rPr>
            <m:sty m:val="p"/>
          </m:rPr>
          <m:t>,</m:t>
        </m:r>
        <m:r>
          <m:t>f</m:t>
        </m:r>
        <m:r>
          <m:rPr>
            <m:sty m:val="p"/>
          </m:rPr>
          <m:t>,</m:t>
        </m:r>
        <m:r>
          <m:t>τ</m:t>
        </m:r>
        <m:r>
          <m:rPr>
            <m:sty m:val="p"/>
          </m:rPr>
          <m:t>)</m:t>
        </m:r>
      </m:oMath>
      <w:r>
        <w:t xml:space="preserve"> </w:t>
      </w:r>
      <w:r>
        <w:t xml:space="preserve">errors from its own</w:t>
      </w:r>
      <w:r>
        <w:t xml:space="preserve"> </w:t>
      </w:r>
      <m:oMath>
        <m:r>
          <m:t>4</m:t>
        </m:r>
        <m:r>
          <m:rPr>
            <m:sty m:val="p"/>
          </m:rPr>
          <m:t>×</m:t>
        </m:r>
        <m:r>
          <m:t>4</m:t>
        </m:r>
      </m:oMath>
      <w:r>
        <w:t xml:space="preserve"> </w:t>
      </w:r>
      <w:r>
        <w:t xml:space="preserve">Fisher matrix, the other mode absent: the correlation-free</w:t>
      </w:r>
      <w:r>
        <w:t xml:space="preserve"> </w:t>
      </w:r>
      <w:r>
        <w:t xml:space="preserve">reference point, not a procedure attributed to any cited</w:t>
      </w:r>
      <w:r>
        <w:t xml:space="preserve"> </w:t>
      </w:r>
      <w:r>
        <w:t xml:space="preserve">forecast;</w:t>
      </w:r>
    </w:p>
    <w:bookmarkEnd w:id="44"/>
    <w:p>
      <w:pPr>
        <w:pStyle w:val="Compact"/>
        <w:numPr>
          <w:ilvl w:val="0"/>
          <w:numId w:val="1002"/>
        </w:numPr>
      </w:pPr>
      <w:bookmarkStart w:id="45" w:name="S3.I1.i2"/>
      <w:r>
        <w:t xml:space="preserve">•</w:t>
      </w:r>
      <w:bookmarkEnd w:id="45"/>
    </w:p>
    <w:bookmarkStart w:id="46" w:name="S3.I1.i2.p1"/>
    <w:p>
      <w:pPr>
        <w:numPr>
          <w:ilvl w:val="0"/>
          <w:numId w:val="1000"/>
        </w:numPr>
      </w:pPr>
      <w:r>
        <w:rPr>
          <w:i/>
          <w:iCs/>
        </w:rPr>
        <w:t xml:space="preserve">correlation-aware</w:t>
      </w:r>
      <w:r>
        <w:t xml:space="preserve">, critical SNR</w:t>
      </w:r>
      <w:r>
        <w:t xml:space="preserve"> </w:t>
      </w:r>
      <m:oMath>
        <m:sSub>
          <m:e>
            <m:r>
              <m:t>ρ</m:t>
            </m:r>
          </m:e>
          <m:sub>
            <m:r>
              <m:t>C</m:t>
            </m:r>
          </m:sub>
        </m:sSub>
      </m:oMath>
      <w:r>
        <w:t xml:space="preserve">: all errors</w:t>
      </w:r>
      <w:r>
        <w:t xml:space="preserve"> </w:t>
      </w:r>
      <w:r>
        <w:t xml:space="preserve">from the joint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8</m:t>
        </m:r>
      </m:oMath>
      <w:r>
        <w:t xml:space="preserve"> </w:t>
      </w:r>
      <w:r>
        <w:t xml:space="preserve">Fisher matrix of</w:t>
      </w:r>
      <w:r>
        <w:t xml:space="preserve"> </w:t>
      </w:r>
      <w:hyperlink w:anchor="S2.E1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, as the anchor forecasts implement</w:t>
      </w:r>
      <w:r>
        <w:t xml:space="preserve"> </w:t>
      </w:r>
      <w:r>
        <w:t xml:space="preserve">[Eq. (9) of [</w:t>
      </w:r>
      <w:hyperlink w:anchor="bib.bib4">
        <w:r>
          <w:rPr>
            <w:rStyle w:val="Hyperlink"/>
          </w:rPr>
          <w:t xml:space="preserve">4</w:t>
        </w:r>
      </w:hyperlink>
      <w:r>
        <w:t xml:space="preserve">]].</w:t>
      </w:r>
    </w:p>
    <w:bookmarkEnd w:id="46"/>
    <w:p>
      <w:pPr>
        <w:pStyle w:val="FirstParagraph"/>
      </w:pPr>
      <w:r>
        <w:t xml:space="preserve">The quantity mapped here is the ratio</w:t>
      </w:r>
    </w:p>
    <w:bookmarkStart w:id="47" w:name="S3.E6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r>
                  <m:t>D</m:t>
                </m:r>
                <m:r>
                  <m:rPr>
                    <m:sty m:val="p"/>
                  </m:rPr>
                  <m:t>(</m:t>
                </m:r>
                <m:r>
                  <m:t>χ</m:t>
                </m:r>
                <m:r>
                  <m:rPr>
                    <m:sty m:val="p"/>
                  </m:rPr>
                  <m:t>,</m:t>
                </m:r>
                <m:sSub>
                  <m:e>
                    <m:r>
                      <m:t>t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;</m:t>
                </m:r>
                <m:r>
                  <m:rPr>
                    <m:nor/>
                    <m:sty m:val="p"/>
                  </m:rPr>
                  <m:t>pair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sSub>
                  <m:e>
                    <m:r>
                      <m:t>ρ</m:t>
                    </m:r>
                  </m:e>
                  <m:sub>
                    <m:r>
                      <m:t>C</m:t>
                    </m:r>
                  </m:sub>
                </m:sSub>
                <m:r>
                  <m:rPr>
                    <m:sty m:val="p"/>
                  </m:rPr>
                  <m:t>/</m:t>
                </m:r>
                <m:sSub>
                  <m:e>
                    <m:r>
                      <m:t>ρ</m:t>
                    </m:r>
                  </m:e>
                  <m:sub>
                    <m:r>
                      <m:t>R</m:t>
                    </m:r>
                  </m:sub>
                </m:sSub>
                <m:r>
                  <m:rPr>
                    <m:sty m:val="p"/>
                  </m:rPr>
                  <m:t>≥</m:t>
                </m:r>
                <m:r>
                  <m:t> </m:t>
                </m:r>
                <m:r>
                  <m:t>1</m:t>
                </m:r>
                <m:r>
                  <m:rPr>
                    <m:sty m:val="p"/>
                  </m:rPr>
                  <m:t>,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(6)</w:t>
            </w:r>
          </w:p>
        </w:tc>
      </w:tr>
    </w:tbl>
    <w:bookmarkEnd w:id="47"/>
    <w:p>
      <w:pPr>
        <w:pStyle w:val="BodyText"/>
      </w:pPr>
      <w:r>
        <w:t xml:space="preserve">the factor by which mode correlations raise the SNR the criterion</w:t>
      </w:r>
      <w:r>
        <w:t xml:space="preserve"> </w:t>
      </w:r>
      <w:r>
        <w:t xml:space="preserve">requires over the orthogonal-template reference. Both thresholds are</w:t>
      </w:r>
      <w:r>
        <w:t xml:space="preserve"> </w:t>
      </w:r>
      <w:r>
        <w:t xml:space="preserve">referred to the same total two-mode SNR of</w:t>
      </w:r>
      <w:r>
        <w:t xml:space="preserve"> </w:t>
      </w:r>
      <w:hyperlink w:anchor="S2.E3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3</w:t>
        </w:r>
      </w:hyperlink>
      <w:r>
        <w:t xml:space="preserve">, so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isolates the effect of the off-diagonal Fisher content at fixed</w:t>
      </w:r>
      <w:r>
        <w:t xml:space="preserve"> </w:t>
      </w:r>
      <w:r>
        <w:t xml:space="preserve">signal strength.</w:t>
      </w:r>
    </w:p>
    <w:bookmarkEnd w:id="48"/>
    <w:bookmarkEnd w:id="49"/>
    <w:bookmarkStart w:id="55" w:name="S3.SS2"/>
    <w:p>
      <w:pPr>
        <w:pStyle w:val="Heading3"/>
      </w:pPr>
      <w:bookmarkStart w:id="50" w:name="X92bf194f4264c5a30290b910d54ae662100a0ad"/>
      <w:r>
        <w:t xml:space="preserve">III-B</w:t>
      </w:r>
      <w:r>
        <w:t xml:space="preserve"> </w:t>
      </w:r>
      <w:r>
        <w:t xml:space="preserve">Why the readings must differ: conditioning</w:t>
      </w:r>
      <w:bookmarkEnd w:id="50"/>
    </w:p>
    <w:bookmarkStart w:id="52" w:name="S3.SS2.p1"/>
    <w:p>
      <w:pPr>
        <w:pStyle w:val="FirstParagraph"/>
      </w:pPr>
      <w:r>
        <w:t xml:space="preserve">Write</w:t>
      </w:r>
      <w:r>
        <w:t xml:space="preserve"> </w:t>
      </w:r>
      <w:hyperlink w:anchor="S2.E1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in quadrature form: each mode contributes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−</m:t>
            </m:r>
            <m:r>
              <m:t>t</m:t>
            </m:r>
            <m:r>
              <m:rPr>
                <m:sty m:val="p"/>
              </m:rPr>
              <m:t>/</m:t>
            </m:r>
            <m:sSub>
              <m:e>
                <m:r>
                  <m:t>τ</m:t>
                </m:r>
              </m:e>
              <m:sub>
                <m:r>
                  <m:t>k</m:t>
                </m:r>
              </m:sub>
            </m:sSub>
          </m:sup>
        </m:sSup>
        <m:r>
          <m:rPr>
            <m:sty m:val="p"/>
          </m:rPr>
          <m:t>cos</m:t>
        </m:r>
        <m:r>
          <m:t>2</m:t>
        </m:r>
        <m:r>
          <m:t>π</m:t>
        </m:r>
        <m:sSub>
          <m:e>
            <m:r>
              <m:t>f</m:t>
            </m:r>
          </m:e>
          <m:sub>
            <m:r>
              <m:t>k</m:t>
            </m:r>
          </m:sub>
        </m:sSub>
        <m:r>
          <m:t>t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−</m:t>
            </m:r>
            <m:r>
              <m:t>t</m:t>
            </m:r>
            <m:r>
              <m:rPr>
                <m:sty m:val="p"/>
              </m:rPr>
              <m:t>/</m:t>
            </m:r>
            <m:sSub>
              <m:e>
                <m:r>
                  <m:t>τ</m:t>
                </m:r>
              </m:e>
              <m:sub>
                <m:r>
                  <m:t>k</m:t>
                </m:r>
              </m:sub>
            </m:sSub>
          </m:sup>
        </m:sSup>
        <m:r>
          <m:rPr>
            <m:sty m:val="p"/>
          </m:rPr>
          <m:t>sin</m:t>
        </m:r>
        <m:r>
          <m:t>2</m:t>
        </m:r>
        <m:r>
          <m:t>π</m:t>
        </m:r>
        <m:sSub>
          <m:e>
            <m:r>
              <m:t>f</m:t>
            </m:r>
          </m:e>
          <m:sub>
            <m:r>
              <m:t>k</m:t>
            </m:r>
          </m:sub>
        </m:sSub>
        <m:r>
          <m:t>t</m:t>
        </m:r>
      </m:oMath>
      <w:r>
        <w:t xml:space="preserve">, so</w:t>
      </w:r>
      <w:r>
        <w:t xml:space="preserve"> </w:t>
      </w:r>
      <w:r>
        <w:t xml:space="preserve">a</w:t>
      </w:r>
      <w:r>
        <w:t xml:space="preserve"> </w:t>
      </w:r>
      <m:oMath>
        <m:r>
          <m:t>k</m:t>
        </m:r>
      </m:oMath>
      <w:r>
        <w:t xml:space="preserve">-mode fit is linear in</w:t>
      </w:r>
      <w:r>
        <w:t xml:space="preserve"> </w:t>
      </w:r>
      <m:oMath>
        <m:r>
          <m:t>2</m:t>
        </m:r>
        <m:r>
          <m:t>k</m:t>
        </m:r>
      </m:oMath>
      <w:r>
        <w:t xml:space="preserve"> </w:t>
      </w:r>
      <w:r>
        <w:t xml:space="preserve">amplitudes with Gram matrix</w:t>
      </w:r>
      <w:r>
        <w:t xml:space="preserve"> </w:t>
      </w:r>
      <m:oMath>
        <m:sSub>
          <m:e>
            <m:r>
              <m:t>G</m:t>
            </m:r>
          </m:e>
          <m:sub>
            <m:r>
              <m:t>a</m:t>
            </m:r>
            <m:r>
              <m:t>b</m:t>
            </m:r>
          </m:sub>
        </m:sSub>
        <m:r>
          <m:rPr>
            <m:sty m:val="p"/>
          </m:rPr>
          <m:t>=</m:t>
        </m:r>
        <m:d>
          <m:dPr>
            <m:begChr m:val=""/>
            <m:sepChr m:val="|"/>
            <m:endChr m:val=""/>
            <m:grow/>
          </m:dPr>
          <m:e>
            <m:r>
              <m:rPr>
                <m:sty m:val="p"/>
              </m:rPr>
              <m:t>⟨</m:t>
            </m:r>
            <m:sSub>
              <m:e>
                <m:acc>
                  <m:accPr>
                    <m:chr m:val="̂"/>
                  </m:accPr>
                  <m:e>
                    <m:r>
                      <m:t>u</m:t>
                    </m:r>
                  </m:e>
                </m:acc>
              </m:e>
              <m:sub>
                <m:r>
                  <m:t>a</m:t>
                </m:r>
              </m:sub>
            </m:sSub>
          </m:e>
          <m:e>
            <m:sSub>
              <m:e>
                <m:acc>
                  <m:accPr>
                    <m:chr m:val="̂"/>
                  </m:accPr>
                  <m:e>
                    <m:r>
                      <m:t>u</m:t>
                    </m:r>
                  </m:e>
                </m:acc>
              </m:e>
              <m:sub>
                <m:r>
                  <m:t>b</m:t>
                </m:r>
              </m:sub>
            </m:sSub>
            <m:r>
              <m:rPr>
                <m:sty m:val="p"/>
              </m:rPr>
              <m:t>⟩</m:t>
            </m:r>
          </m:e>
        </m:d>
      </m:oMath>
      <w:r>
        <w:t xml:space="preserve"> </w:t>
      </w:r>
      <w:r>
        <w:t xml:space="preserve">of the normalized basis. The</w:t>
      </w:r>
      <w:r>
        <w:t xml:space="preserve"> </w:t>
      </w:r>
      <w:r>
        <w:t xml:space="preserve">joint covariance is proportional to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−</m:t>
            </m:r>
            <m:r>
              <m:t>1</m:t>
            </m:r>
          </m:sup>
        </m:sSup>
      </m:oMath>
      <w:r>
        <w:t xml:space="preserve">; the variance of</w:t>
      </w:r>
      <w:r>
        <w:t xml:space="preserve"> </w:t>
      </w:r>
      <w:r>
        <w:t xml:space="preserve">amplitude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inflates over the orthogonal case by</w:t>
      </w:r>
      <w:r>
        <w:t xml:space="preserve"> </w:t>
      </w:r>
      <m:oMath>
        <m:sSub>
          <m:e>
            <m:r>
              <m:rPr>
                <m:sty m:val="p"/>
              </m:rPr>
              <m:t>(</m:t>
            </m:r>
            <m:sSup>
              <m:e>
                <m:r>
                  <m:t>G</m:t>
                </m:r>
              </m:e>
              <m:sup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  <m:r>
              <m:rPr>
                <m:sty m:val="p"/>
              </m:rPr>
              <m:t>)</m:t>
            </m:r>
          </m:e>
          <m:sub>
            <m:r>
              <m:t>a</m:t>
            </m:r>
            <m:r>
              <m:t>a</m:t>
            </m:r>
          </m:sub>
        </m:sSub>
        <m:r>
          <m:rPr>
            <m:sty m:val="p"/>
          </m:rPr>
          <m:t>≥</m:t>
        </m:r>
        <m:r>
          <m:t>1</m:t>
        </m:r>
      </m:oMath>
      <w:r>
        <w:t xml:space="preserve">, bounded by the condition number</w:t>
      </w:r>
      <w:r>
        <w:t xml:space="preserve"> </w:t>
      </w:r>
      <m:oMath>
        <m:r>
          <m:t>κ</m:t>
        </m:r>
        <m:r>
          <m:rPr>
            <m:sty m:val="p"/>
          </m:rPr>
          <m:t>(</m:t>
        </m:r>
        <m:r>
          <m:t>G</m:t>
        </m:r>
        <m:r>
          <m:rPr>
            <m:sty m:val="p"/>
          </m:rPr>
          <m:t>)</m:t>
        </m:r>
        <m:r>
          <m:rPr>
            <m:sty m:val="p"/>
          </m:rPr>
          <m:t>=</m:t>
        </m:r>
        <m:sSub>
          <m:e>
            <m:r>
              <m:t>λ</m:t>
            </m:r>
          </m:e>
          <m:sub>
            <m:r>
              <m:rPr>
                <m:sty m:val="p"/>
              </m:rPr>
              <m:t>max</m:t>
            </m:r>
          </m:sub>
        </m:sSub>
        <m:r>
          <m:rPr>
            <m:sty m:val="p"/>
          </m:rPr>
          <m:t>/</m:t>
        </m:r>
        <m:sSub>
          <m:e>
            <m:r>
              <m:t>λ</m:t>
            </m:r>
          </m:e>
          <m:sub>
            <m:r>
              <m:rPr>
                <m:sty m:val="p"/>
              </m:rPr>
              <m:t>min</m:t>
            </m:r>
          </m:sub>
        </m:sSub>
      </m:oMath>
      <w:r>
        <w:t xml:space="preserve">, with</w:t>
      </w:r>
      <w:r>
        <w:t xml:space="preserve"> </w:t>
      </w:r>
      <m:oMath>
        <m:sSub>
          <m:e>
            <m:r>
              <m:t>λ</m:t>
            </m:r>
          </m:e>
          <m:sub>
            <m:r>
              <m:rPr>
                <m:sty m:val="p"/>
              </m:rPr>
              <m:t>max</m:t>
            </m:r>
          </m:sub>
        </m:sSub>
      </m:oMath>
      <w:r>
        <w:t xml:space="preserve"> </w:t>
      </w:r>
      <w:r>
        <w:t xml:space="preserve">and</w:t>
      </w:r>
      <w:r>
        <w:t xml:space="preserve"> </w:t>
      </w:r>
      <m:oMath>
        <m:sSub>
          <m:e>
            <m:r>
              <m:t>λ</m:t>
            </m:r>
          </m:e>
          <m:sub>
            <m:r>
              <m:rPr>
                <m:sty m:val="p"/>
              </m:rPr>
              <m:t>min</m:t>
            </m:r>
          </m:sub>
        </m:sSub>
      </m:oMath>
      <w:r>
        <w:t xml:space="preserve"> </w:t>
      </w:r>
      <w:r>
        <w:t xml:space="preserve">the largest and smallest eigenvalues of</w:t>
      </w:r>
      <w:r>
        <w:t xml:space="preserve"> </w:t>
      </w:r>
      <m:oMath>
        <m:r>
          <m:t>G</m:t>
        </m:r>
      </m:oMath>
      <w:r>
        <w:t xml:space="preserve">. The</w:t>
      </w:r>
      <w:r>
        <w:t xml:space="preserve"> </w:t>
      </w:r>
      <w:r>
        <w:t xml:space="preserve">cross-mode content</w:t>
      </w:r>
      <w:r>
        <w:t xml:space="preserve"> </w:t>
      </w:r>
      <w:r>
        <w:t xml:space="preserve">is captured by the overlap of the normalized complex templates</w:t>
      </w:r>
      <w:r>
        <w:t xml:space="preserve"> </w:t>
      </w:r>
      <m:oMath>
        <m:sSub>
          <m:e>
            <m:r>
              <m:t>z</m:t>
            </m:r>
          </m:e>
          <m:sub>
            <m:r>
              <m:t>k</m:t>
            </m:r>
          </m:sub>
        </m:sSub>
        <m:r>
          <m:rPr>
            <m:sty m:val="p"/>
          </m:rPr>
          <m:t>(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rPr>
            <m:sty m:val="p"/>
          </m:rPr>
          <m:t>exp</m:t>
        </m:r>
        <m:r>
          <m:rPr>
            <m:sty m:val="p"/>
          </m:rPr>
          <m:t>[</m:t>
        </m:r>
        <m:r>
          <m:rPr>
            <m:sty m:val="p"/>
          </m:rPr>
          <m:t>(</m:t>
        </m:r>
        <m:r>
          <m:t>2</m:t>
        </m:r>
        <m:r>
          <m:t>π</m:t>
        </m:r>
        <m:r>
          <m:t>i</m:t>
        </m:r>
        <m:sSub>
          <m:e>
            <m:r>
              <m:t>f</m:t>
            </m:r>
          </m:e>
          <m:sub>
            <m:r>
              <m:t>k</m:t>
            </m:r>
          </m:sub>
        </m:sSub>
        <m:r>
          <m:rPr>
            <m:sty m:val="p"/>
          </m:rPr>
          <m:t>−</m:t>
        </m:r>
        <m:r>
          <m:t>1</m:t>
        </m:r>
        <m:r>
          <m:rPr>
            <m:sty m:val="p"/>
          </m:rPr>
          <m:t>/</m:t>
        </m:r>
        <m:sSub>
          <m:e>
            <m:r>
              <m:t>τ</m:t>
            </m:r>
          </m:e>
          <m:sub>
            <m:r>
              <m:t>k</m:t>
            </m:r>
          </m:sub>
        </m:sSub>
        <m:r>
          <m:rPr>
            <m:sty m:val="p"/>
          </m:rPr>
          <m:t>)</m:t>
        </m:r>
        <m:r>
          <m:t>t</m:t>
        </m:r>
        <m:r>
          <m:rPr>
            <m:sty m:val="p"/>
          </m:rPr>
          <m:t>]</m:t>
        </m:r>
      </m:oMath>
      <w:r>
        <w:t xml:space="preserve"> </w:t>
      </w:r>
      <w:r>
        <w:t xml:space="preserve">on the window,</w:t>
      </w:r>
      <w:r>
        <w:t xml:space="preserve"> </w:t>
      </w:r>
      <m:oMath>
        <m:r>
          <m:t>μ</m:t>
        </m:r>
        <m:r>
          <m:rPr>
            <m:sty m:val="p"/>
          </m:rPr>
          <m:t>=</m:t>
        </m:r>
        <m:r>
          <m:rPr>
            <m:sty m:val="p"/>
          </m:rPr>
          <m:t>|</m:t>
        </m:r>
        <m:d>
          <m:dPr>
            <m:begChr m:val=""/>
            <m:sepChr m:val="|"/>
            <m:endChr m:val=""/>
            <m:grow/>
          </m:dPr>
          <m:e>
            <m:r>
              <m:rPr>
                <m:sty m:val="p"/>
              </m:rPr>
              <m:t>⟨</m:t>
            </m:r>
            <m:sSub>
              <m:e>
                <m:acc>
                  <m:accPr>
                    <m:chr m:val="̂"/>
                  </m:accPr>
                  <m:e>
                    <m:r>
                      <m:t>z</m:t>
                    </m:r>
                  </m:e>
                </m:acc>
              </m:e>
              <m:sub>
                <m:r>
                  <m:t>0</m:t>
                </m:r>
              </m:sub>
            </m:sSub>
          </m:e>
          <m:e>
            <m:sSub>
              <m:e>
                <m:acc>
                  <m:accPr>
                    <m:chr m:val="̂"/>
                  </m:accPr>
                  <m:e>
                    <m:r>
                      <m:t>z</m:t>
                    </m:r>
                  </m:e>
                </m:acc>
              </m:e>
              <m:sub>
                <m:r>
                  <m:t>1</m:t>
                </m:r>
              </m:sub>
            </m:sSub>
            <m:r>
              <m:rPr>
                <m:sty m:val="p"/>
              </m:rPr>
              <m:t>⟩</m:t>
            </m:r>
          </m:e>
        </m:d>
        <m:r>
          <m:rPr>
            <m:sty m:val="p"/>
          </m:rPr>
          <m:t>|</m:t>
        </m:r>
      </m:oMath>
      <w:r>
        <w:t xml:space="preserve">, for which the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2</m:t>
        </m:r>
      </m:oMath>
      <w:r>
        <w:t xml:space="preserve"> </w:t>
      </w:r>
      <w:r>
        <w:t xml:space="preserve">case is</w:t>
      </w:r>
      <w:r>
        <w:t xml:space="preserve"> </w:t>
      </w:r>
      <w:r>
        <w:t xml:space="preserve">fully analytic:</w:t>
      </w:r>
    </w:p>
    <w:bookmarkStart w:id="51" w:name="S3.E7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sSub>
                  <m:e>
                    <m:r>
                      <m:rPr>
                        <m:sty m:val="p"/>
                      </m:rPr>
                      <m:t>(</m:t>
                    </m:r>
                    <m:sSup>
                      <m:e>
                        <m:r>
                          <m:t>G</m:t>
                        </m:r>
                      </m:e>
                      <m:sup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1</m:t>
                        </m:r>
                      </m:sup>
                    </m:sSup>
                    <m:r>
                      <m:rPr>
                        <m:sty m:val="p"/>
                      </m:rPr>
                      <m:t>)</m:t>
                    </m:r>
                  </m:e>
                  <m:sub>
                    <m:r>
                      <m:t>a</m:t>
                    </m:r>
                    <m:r>
                      <m:t>a</m:t>
                    </m:r>
                  </m:sub>
                </m:sSub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  <m:r>
                      <m:rPr>
                        <m:sty m:val="p"/>
                      </m:rPr>
                      <m:t>−</m:t>
                    </m:r>
                    <m:sSup>
                      <m:e>
                        <m:r>
                          <m:t>μ</m:t>
                        </m:r>
                      </m:e>
                      <m:sup>
                        <m:r>
                          <m:t>2</m:t>
                        </m:r>
                      </m:sup>
                    </m:sSup>
                  </m:den>
                </m:f>
                <m:r>
                  <m:rPr>
                    <m:sty m:val="p"/>
                  </m:rPr>
                  <m:t>,</m:t>
                </m:r>
                <m:r>
                  <m:t>κ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</m:t>
                    </m:r>
                    <m:r>
                      <m:rPr>
                        <m:sty m:val="p"/>
                      </m:rPr>
                      <m:t>+</m:t>
                    </m:r>
                    <m:r>
                      <m:t>μ</m:t>
                    </m:r>
                  </m:num>
                  <m:den>
                    <m:r>
                      <m:t>1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den>
                </m:f>
                <m:r>
                  <m:rPr>
                    <m:sty m:val="p"/>
                  </m:rPr>
                  <m:t>,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(7)</w:t>
            </w:r>
          </w:p>
        </w:tc>
      </w:tr>
    </w:tbl>
    <w:bookmarkEnd w:id="51"/>
    <w:p>
      <w:pPr>
        <w:pStyle w:val="BodyText"/>
      </w:pPr>
      <w:r>
        <w:t xml:space="preserve">giving an SNR penalty of at least</w:t>
      </w:r>
      <w:r>
        <w:t xml:space="preserve"> </w:t>
      </w:r>
      <m:oMath>
        <m:sSup>
          <m:e>
            <m:r>
              <m:rPr>
                <m:sty m:val="p"/>
              </m:rPr>
              <m:t>(</m:t>
            </m:r>
            <m:r>
              <m:t>1</m:t>
            </m:r>
            <m:r>
              <m:rPr>
                <m:sty m:val="p"/>
              </m:rPr>
              <m:t>−</m:t>
            </m:r>
            <m:sSup>
              <m:e>
                <m:r>
                  <m:t>μ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)</m:t>
            </m:r>
          </m:e>
          <m:sup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/</m:t>
            </m:r>
            <m:r>
              <m:t>2</m:t>
            </m:r>
          </m:sup>
        </m:sSup>
      </m:oMath>
      <w:r>
        <w:t xml:space="preserve"> </w:t>
      </w:r>
      <w:r>
        <w:t xml:space="preserve">for amplitude</w:t>
      </w:r>
      <w:r>
        <w:t xml:space="preserve"> </w:t>
      </w:r>
      <w:r>
        <w:t xml:space="preserve">estimation alone. For orthogonal modes</w:t>
      </w:r>
      <w:r>
        <w:t xml:space="preserve"> </w:t>
      </w:r>
      <m:oMath>
        <m:r>
          <m:t>μ</m:t>
        </m:r>
        <m:r>
          <m:rPr>
            <m:sty m:val="p"/>
          </m:rPr>
          <m:t>→</m:t>
        </m:r>
        <m:r>
          <m:t>0</m:t>
        </m:r>
      </m:oMath>
      <w:r>
        <w:t xml:space="preserve">, the penalty</w:t>
      </w:r>
      <w:r>
        <w:t xml:space="preserve"> </w:t>
      </w:r>
      <w:r>
        <w:t xml:space="preserve">disappears, and the two constructions of</w:t>
      </w:r>
      <w:r>
        <w:t xml:space="preserve"> </w:t>
      </w:r>
      <w:hyperlink w:anchor="S3.E5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 </w:t>
      </w:r>
      <w:r>
        <w:t xml:space="preserve">coincide;</w:t>
      </w:r>
      <w:r>
        <w:t xml:space="preserve"> </w:t>
      </w:r>
      <w:hyperlink w:anchor="S3.E7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 </w:t>
      </w:r>
      <w:r>
        <w:t xml:space="preserve">is also the pipeline’s unit test.</w:t>
      </w:r>
    </w:p>
    <w:bookmarkEnd w:id="52"/>
    <w:bookmarkStart w:id="54" w:name="S3.SS2.p2"/>
    <w:p>
      <w:pPr>
        <w:pStyle w:val="BodyText"/>
      </w:pPr>
      <w:r>
        <w:t xml:space="preserve">For a window long compared to the damping times the overlap itself</w:t>
      </w:r>
      <w:r>
        <w:t xml:space="preserve"> </w:t>
      </w:r>
      <w:r>
        <w:t xml:space="preserve">has a closed form,</w:t>
      </w:r>
    </w:p>
    <w:bookmarkStart w:id="53" w:name="S3.E8"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m:oMathPara>
              <m:oMathParaPr>
                <m:jc m:val="center"/>
              </m:oMathParaPr>
              <m:oMath>
                <m:r>
                  <m:t>μ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2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sSub>
                          <m:e>
                            <m:r>
                              <m:t>τ</m:t>
                            </m:r>
                          </m:e>
                          <m:sub>
                            <m:r>
                              <m:t>0</m:t>
                            </m:r>
                          </m:sub>
                        </m:sSub>
                        <m:sSub>
                          <m:e>
                            <m:r>
                              <m:t>τ</m:t>
                            </m:r>
                          </m:e>
                          <m:sub>
                            <m:r>
                              <m:t>1</m:t>
                            </m:r>
                          </m:sub>
                        </m:sSub>
                      </m:e>
                    </m:rad>
                    <m:d>
                      <m:dPr>
                        <m:begChr m:val="|"/>
                        <m:sepChr m:val=""/>
                        <m:endChr m:val="|"/>
                        <m:grow/>
                      </m:dPr>
                      <m:e>
                        <m:sSubSup>
                          <m:e>
                            <m:r>
                              <m:t>τ</m:t>
                            </m:r>
                          </m:e>
                          <m:sub>
                            <m:r>
                              <m:t>0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m:t>+</m:t>
                        </m:r>
                        <m:sSubSup>
                          <m:e>
                            <m:r>
                              <m:t>τ</m:t>
                            </m:r>
                          </m:e>
                          <m:sub>
                            <m: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m:t>−</m:t>
                            </m:r>
                            <m:r>
                              <m:t>1</m:t>
                            </m:r>
                          </m:sup>
                        </m:sSubSup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2</m:t>
                        </m:r>
                        <m:r>
                          <m:t>π</m:t>
                        </m:r>
                        <m:r>
                          <m:t>i</m:t>
                        </m:r>
                        <m:r>
                          <m:rPr>
                            <m:sty m:val="p"/>
                          </m:rPr>
                          <m:t>(</m:t>
                        </m:r>
                        <m:sSub>
                          <m:e>
                            <m:r>
                              <m:t>f</m:t>
                            </m:r>
                          </m:e>
                          <m:sub>
                            <m: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−</m:t>
                        </m:r>
                        <m:sSub>
                          <m:e>
                            <m:r>
                              <m:t>f</m:t>
                            </m:r>
                          </m:e>
                          <m:sub>
                            <m: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m:t>)</m:t>
                        </m:r>
                      </m:e>
                    </m: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sSub>
                      <m:e>
                        <m:r>
                          <m:t>f</m:t>
                        </m:r>
                      </m:e>
                      <m:sub>
                        <m: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m:t>→</m:t>
                    </m:r>
                    <m:sSub>
                      <m:e>
                        <m:r>
                          <m:t>f</m:t>
                        </m:r>
                      </m:e>
                      <m:sub>
                        <m:r>
                          <m:t>0</m:t>
                        </m:r>
                      </m:sub>
                    </m:sSub>
                  </m:lim>
                </m:limUpp>
                <m:f>
                  <m:fPr>
                    <m:type m:val="bar"/>
                  </m:fPr>
                  <m:num>
                    <m:r>
                      <m:t>2</m:t>
                    </m:r>
                    <m:rad>
                      <m:radPr>
                        <m:degHide m:val="on"/>
                      </m:radPr>
                      <m:deg/>
                      <m:e>
                        <m:sSub>
                          <m:e>
                            <m:r>
                              <m:t>τ</m:t>
                            </m:r>
                          </m:e>
                          <m:sub>
                            <m:r>
                              <m:t>0</m:t>
                            </m:r>
                          </m:sub>
                        </m:sSub>
                        <m:sSub>
                          <m:e>
                            <m:r>
                              <m:t>τ</m:t>
                            </m:r>
                          </m:e>
                          <m:sub>
                            <m:r>
                              <m:t>1</m:t>
                            </m:r>
                          </m:sub>
                        </m:sSub>
                      </m:e>
                    </m:rad>
                  </m:num>
                  <m:den>
                    <m:sSub>
                      <m:e>
                        <m:r>
                          <m:t>τ</m:t>
                        </m:r>
                      </m:e>
                      <m:sub>
                        <m: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m:t>+</m:t>
                    </m:r>
                    <m:sSub>
                      <m:e>
                        <m:r>
                          <m:t>τ</m:t>
                        </m:r>
                      </m:e>
                      <m:sub>
                        <m:r>
                          <m:t>1</m:t>
                        </m:r>
                      </m:sub>
                    </m:sSub>
                  </m:den>
                </m:f>
                <m:r>
                  <m:rPr>
                    <m:sty m:val="p"/>
                  </m:rPr>
                  <m:t>,</m:t>
                </m:r>
              </m:oMath>
            </m:oMathPara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(8)</w:t>
            </w:r>
          </w:p>
        </w:tc>
      </w:tr>
    </w:tbl>
    <w:bookmarkEnd w:id="53"/>
    <w:p>
      <w:pPr>
        <w:pStyle w:val="BodyText"/>
      </w:pPr>
      <w:r>
        <w:t xml:space="preserve">whose equal-frequency limit is the ratio of the geometric to the</w:t>
      </w:r>
      <w:r>
        <w:t xml:space="preserve"> </w:t>
      </w:r>
      <w:r>
        <w:t xml:space="preserve">arithmetic mean of the two damping times. The overlap that drives</w:t>
      </w:r>
      <w:r>
        <w:t xml:space="preserve"> </w:t>
      </w:r>
      <w:r>
        <w:t xml:space="preserve">the penalty is therefore governed by the damping-time ratio; the</w:t>
      </w:r>
      <w:r>
        <w:t xml:space="preserve"> </w:t>
      </w:r>
      <w:r>
        <w:t xml:space="preserve">frequency splitting enters only through the second term in the</w:t>
      </w:r>
      <w:r>
        <w:t xml:space="preserve"> </w:t>
      </w:r>
      <w:r>
        <w:t xml:space="preserve">modulus, which is small for this pair.</w:t>
      </w:r>
    </w:p>
    <w:bookmarkEnd w:id="54"/>
    <w:bookmarkEnd w:id="55"/>
    <w:bookmarkEnd w:id="56"/>
    <w:bookmarkStart w:id="60" w:name="S4"/>
    <w:p>
      <w:pPr>
        <w:pStyle w:val="Heading2"/>
      </w:pPr>
      <w:bookmarkStart w:id="57" w:name="iv-numerical-setup"/>
      <w:r>
        <w:t xml:space="preserve">IV</w:t>
      </w:r>
      <w:r>
        <w:t xml:space="preserve"> </w:t>
      </w:r>
      <w:r>
        <w:t xml:space="preserve">Numerical Setup</w:t>
      </w:r>
      <w:bookmarkEnd w:id="57"/>
    </w:p>
    <w:bookmarkStart w:id="58" w:name="S4.p1"/>
    <w:p>
      <w:pPr>
        <w:pStyle w:val="FirstParagraph"/>
      </w:pPr>
      <w:r>
        <w:t xml:space="preserve">The grid covers</w:t>
      </w:r>
      <w:r>
        <w:t xml:space="preserve"> </w:t>
      </w:r>
      <m:oMath>
        <m:r>
          <m:t>χ</m:t>
        </m:r>
        <m:r>
          <m:rPr>
            <m:sty m:val="p"/>
          </m:rPr>
          <m:t>∈</m:t>
        </m:r>
        <m:r>
          <m:rPr>
            <m:sty m:val="p"/>
          </m:rPr>
          <m:t>[</m:t>
        </m:r>
        <m:r>
          <m:t>0</m:t>
        </m:r>
        <m:r>
          <m:rPr>
            <m:sty m:val="p"/>
          </m:rPr>
          <m:t>,</m:t>
        </m:r>
        <m:r>
          <m:t>0.99</m:t>
        </m:r>
        <m:r>
          <m:rPr>
            <m:sty m:val="p"/>
          </m:rPr>
          <m:t>]</m:t>
        </m:r>
      </m:oMath>
      <w:r>
        <w:t xml:space="preserve"> </w:t>
      </w:r>
      <w:r>
        <w:t xml:space="preserve">in 100 points and window starts</w:t>
      </w:r>
      <w:r>
        <w:t xml:space="preserve"> </w:t>
      </w:r>
      <m:oMath>
        <m:sSub>
          <m:e>
            <m:r>
              <m:t>t</m:t>
            </m:r>
          </m:e>
          <m:sub>
            <m:r>
              <m:t>0</m:t>
            </m:r>
          </m:sub>
        </m:sSub>
        <m:r>
          <m:rPr>
            <m:sty m:val="p"/>
          </m:rPr>
          <m:t>∈</m:t>
        </m:r>
        <m:r>
          <m:rPr>
            <m:sty m:val="p"/>
          </m:rPr>
          <m:t>[</m:t>
        </m:r>
        <m:r>
          <m:t>0</m:t>
        </m:r>
        <m:r>
          <m:rPr>
            <m:sty m:val="p"/>
          </m:rPr>
          <m:t>,</m:t>
        </m:r>
        <m:r>
          <m:t>30</m:t>
        </m:r>
        <m:r>
          <m:rPr>
            <m:sty m:val="p"/>
          </m:rPr>
          <m:t>]</m:t>
        </m:r>
        <m:r>
          <m:t>M</m:t>
        </m:r>
      </m:oMath>
      <w:r>
        <w:t xml:space="preserve"> </w:t>
      </w:r>
      <w:r>
        <w:t xml:space="preserve">in steps of</w:t>
      </w:r>
      <w:r>
        <w:t xml:space="preserve"> </w:t>
      </w:r>
      <m:oMath>
        <m:r>
          <m:t>1</m:t>
        </m:r>
        <m:r>
          <m:t>M</m:t>
        </m:r>
      </m:oMath>
      <w:r>
        <w:t xml:space="preserve">, with fiducial window length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60</m:t>
        </m:r>
        <m:r>
          <m:t>M</m:t>
        </m:r>
      </m:oMath>
      <w:r>
        <w:t xml:space="preserve"> </w:t>
      </w:r>
      <w:r>
        <w:t xml:space="preserve">and amplitude ratio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</m:t>
        </m:r>
      </m:oMath>
      <w:r>
        <w:t xml:space="preserve">; robustness variations use</w:t>
      </w:r>
      <w:r>
        <w:t xml:space="preserve"> </w:t>
      </w:r>
      <m:oMath>
        <m:r>
          <m:t>T</m:t>
        </m:r>
        <m:r>
          <m:rPr>
            <m:sty m:val="p"/>
          </m:rPr>
          <m:t>∈</m:t>
        </m:r>
        <m:r>
          <m:rPr>
            <m:sty m:val="p"/>
          </m:rPr>
          <m:t>{</m:t>
        </m:r>
        <m:r>
          <m:t>30</m:t>
        </m:r>
        <m:r>
          <m:rPr>
            <m:sty m:val="p"/>
          </m:rPr>
          <m:t>,</m:t>
        </m:r>
        <m:r>
          <m:t>100</m:t>
        </m:r>
        <m:r>
          <m:rPr>
            <m:sty m:val="p"/>
          </m:rPr>
          <m:t>}</m:t>
        </m:r>
        <m:r>
          <m:t>M</m:t>
        </m:r>
      </m:oMath>
      <w:r>
        <w:t xml:space="preserve">,</w:t>
      </w:r>
      <w:r>
        <w:t xml:space="preserve"> </w:t>
      </w:r>
      <m:oMath>
        <m:r>
          <m:t>R</m:t>
        </m:r>
        <m:r>
          <m:rPr>
            <m:sty m:val="p"/>
          </m:rPr>
          <m:t>∈</m:t>
        </m:r>
        <m:r>
          <m:rPr>
            <m:sty m:val="p"/>
          </m:rPr>
          <m:t>{</m:t>
        </m:r>
        <m:r>
          <m:t>0.3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}</m:t>
        </m:r>
      </m:oMath>
      <w:r>
        <w:t xml:space="preserve">, and 24 relative phases</w:t>
      </w:r>
      <w:r>
        <w:t xml:space="preserve"> </w:t>
      </w:r>
      <m:oMath>
        <m:sSub>
          <m:e>
            <m:r>
              <m:t>ϕ</m:t>
            </m:r>
          </m:e>
          <m:sub>
            <m:r>
              <m:t>1</m:t>
            </m:r>
          </m:sub>
        </m:sSub>
        <m:r>
          <m:rPr>
            <m:sty m:val="p"/>
          </m:rPr>
          <m:t>−</m:t>
        </m:r>
        <m:sSub>
          <m:e>
            <m:r>
              <m:t>ϕ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spanning</w:t>
      </w:r>
      <w:r>
        <w:t xml:space="preserve"> </w:t>
      </w:r>
      <m:oMath>
        <m:r>
          <m:rPr>
            <m:sty m:val="p"/>
          </m:rPr>
          <m:t>[</m:t>
        </m:r>
        <m:r>
          <m:t>0</m:t>
        </m:r>
        <m:r>
          <m:rPr>
            <m:sty m:val="p"/>
          </m:rPr>
          <m:t>,</m:t>
        </m:r>
        <m:r>
          <m:t>π</m:t>
        </m:r>
        <m:r>
          <m:rPr>
            <m:sty m:val="p"/>
          </m:rPr>
          <m:t>)</m:t>
        </m:r>
      </m:oMath>
      <w:r>
        <w:t xml:space="preserve"> </w:t>
      </w:r>
      <w:r>
        <w:t xml:space="preserve">(with</w:t>
      </w:r>
      <w:r>
        <w:t xml:space="preserve"> </w:t>
      </w:r>
      <m:oMath>
        <m:sSub>
          <m:e>
            <m:r>
              <m:t>ϕ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;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has</w:t>
      </w:r>
      <w:r>
        <w:t xml:space="preserve"> </w:t>
      </w:r>
      <w:r>
        <w:t xml:space="preserve">period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in the relative phase), with the median over phase</w:t>
      </w:r>
      <w:r>
        <w:t xml:space="preserve"> </w:t>
      </w:r>
      <w:r>
        <w:t xml:space="preserve">reported. Individual-phase values spread by tens of percent about</w:t>
      </w:r>
      <w:r>
        <w:t xml:space="preserve"> </w:t>
      </w:r>
      <w:r>
        <w:t xml:space="preserve">the median (</w:t>
      </w:r>
      <w:hyperlink w:anchor="S6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VI</w:t>
        </w:r>
      </w:hyperlink>
      <w:r>
        <w:t xml:space="preserve">). An earlier freeze (results v1)</w:t>
      </w:r>
      <w:r>
        <w:t xml:space="preserve"> </w:t>
      </w:r>
      <w:r>
        <w:t xml:space="preserve">sampled only four phases, which this symmetry collapses to two</w:t>
      </w:r>
      <w:r>
        <w:t xml:space="preserve"> </w:t>
      </w:r>
      <w:r>
        <w:t xml:space="preserve">distinct values; its medians agree with the current 24-phase freeze</w:t>
      </w:r>
      <w:r>
        <w:t xml:space="preserve"> </w:t>
      </w:r>
      <w:r>
        <w:t xml:space="preserve">(results v2) at the tabulated point to five digits, and v1 is</w:t>
      </w:r>
      <w:r>
        <w:t xml:space="preserve"> </w:t>
      </w:r>
      <w:r>
        <w:t xml:space="preserve">archived alongside the pipeline. The mode pairs are the contested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  <m:r>
          <m:rPr>
            <m:nor/>
            <m:sty m:val="p"/>
          </m:rPr>
          <m:t>–</m:t>
        </m:r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)</m:t>
        </m:r>
      </m:oMath>
      <w:r>
        <w:t xml:space="preserve"> </w:t>
      </w:r>
      <w:r>
        <w:t xml:space="preserve">pair and a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–</w:t>
      </w:r>
      <m:oMath>
        <m:r>
          <m:rPr>
            <m:sty m:val="p"/>
          </m:rPr>
          <m:t>(</m:t>
        </m:r>
        <m:r>
          <m:t>3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 </w:t>
      </w:r>
      <w:r>
        <w:t xml:space="preserve">control. Integrals use</w:t>
      </w:r>
      <w:r>
        <w:t xml:space="preserve"> </w:t>
      </w:r>
      <w:r>
        <w:t xml:space="preserve">a</w:t>
      </w:r>
      <w:r>
        <w:t xml:space="preserve"> </w:t>
      </w:r>
      <m:oMath>
        <m:r>
          <m:t>0.01</m:t>
        </m:r>
        <m:r>
          <m:t>M</m:t>
        </m:r>
      </m:oMath>
      <w:r>
        <w:t xml:space="preserve"> </w:t>
      </w:r>
      <w:r>
        <w:t xml:space="preserve">step; Fisher inversions are correlation-scaled, with a</w:t>
      </w:r>
      <w:r>
        <w:t xml:space="preserve"> </w:t>
      </w:r>
      <w:r>
        <w:t xml:space="preserve">conditioning ceiling of</w:t>
      </w:r>
      <w:r>
        <w:t xml:space="preserve"> </w:t>
      </w:r>
      <m:oMath>
        <m:sSup>
          <m:e>
            <m:r>
              <m:t>10</m:t>
            </m:r>
          </m:e>
          <m:sup>
            <m:r>
              <m:t>13</m:t>
            </m:r>
          </m:sup>
        </m:sSup>
      </m:oMath>
      <w:r>
        <w:t xml:space="preserve"> </w:t>
      </w:r>
      <w:r>
        <w:t xml:space="preserve">that is never reached on this grid</w:t>
      </w:r>
      <w:r>
        <w:t xml:space="preserve"> </w:t>
      </w:r>
      <w:r>
        <w:t xml:space="preserve">(the largest correlation-scaled condition number encountered is</w:t>
      </w:r>
      <w:r>
        <w:t xml:space="preserve"> </w:t>
      </w:r>
      <m:oMath>
        <m:r>
          <m:t>3.4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5</m:t>
            </m:r>
          </m:sup>
        </m:sSup>
      </m:oMath>
      <w:r>
        <w:t xml:space="preserve">).</w:t>
      </w:r>
      <w:r>
        <w:t xml:space="preserve"> </w:t>
      </w:r>
      <w:r>
        <w:t xml:space="preserve">In the analytic orthogonal limit (narrow linewidths, well-separated</w:t>
      </w:r>
      <w:r>
        <w:t xml:space="preserve"> </w:t>
      </w:r>
      <w:r>
        <w:t xml:space="preserve">tones) the pipeline returns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1.0000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κ</m:t>
        </m:r>
        <m:r>
          <m:rPr>
            <m:sty m:val="p"/>
          </m:rPr>
          <m:t>=</m:t>
        </m:r>
        <m:r>
          <m:t>1.011</m:t>
        </m:r>
      </m:oMath>
      <w:r>
        <w:t xml:space="preserve">,</w:t>
      </w:r>
      <w:r>
        <w:t xml:space="preserve"> </w:t>
      </w:r>
      <w:r>
        <w:t xml:space="preserve">matching</w:t>
      </w:r>
      <w:r>
        <w:t xml:space="preserve"> </w:t>
      </w:r>
      <w:hyperlink w:anchor="S3.E7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. As an external order-of-magnitude</w:t>
      </w:r>
      <w:r>
        <w:t xml:space="preserve"> </w:t>
      </w:r>
      <w:r>
        <w:t xml:space="preserve">anchor: at the amplitude ratio of the anchor forecast’s overtone</w:t>
      </w:r>
      <w:r>
        <w:t xml:space="preserve"> </w:t>
      </w:r>
      <w:r>
        <w:t xml:space="preserve">figures (</w:t>
      </w:r>
      <m:oMath>
        <m:r>
          <m:t>R</m:t>
        </m:r>
        <m:r>
          <m:rPr>
            <m:sty m:val="p"/>
          </m:rPr>
          <m:t>=</m:t>
        </m:r>
        <m:r>
          <m:t>0.1</m:t>
        </m:r>
      </m:oMath>
      <w:r>
        <w:t xml:space="preserve">), the joint threshold here is a few times</w:t>
      </w:r>
      <w:r>
        <w:t xml:space="preserve"> </w:t>
      </w:r>
      <m:oMath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over most of the spin range at</w:t>
      </w:r>
      <w:r>
        <w:t xml:space="preserve"> </w:t>
      </w:r>
      <m:oMath>
        <m:sSub>
          <m:e>
            <m:r>
              <m:t>t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(median</w:t>
      </w:r>
      <w:r>
        <w:t xml:space="preserve"> </w:t>
      </w:r>
      <m:oMath>
        <m:r>
          <m:t>3.1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;</w:t>
      </w:r>
      <w:r>
        <w:t xml:space="preserve"> </w:t>
      </w:r>
      <m:oMath>
        <m:r>
          <m:t>3.8</m:t>
        </m:r>
        <m:r>
          <m:rPr>
            <m:sty m:val="p"/>
          </m:rPr>
          <m:t>×</m:t>
        </m:r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at</w:t>
      </w:r>
      <w:r>
        <w:t xml:space="preserve"> </w:t>
      </w:r>
      <m:oMath>
        <m:r>
          <m:t>χ</m:t>
        </m:r>
        <m:r>
          <m:rPr>
            <m:sty m:val="p"/>
          </m:rPr>
          <m:t>=</m:t>
        </m:r>
        <m:r>
          <m:t>0.69</m:t>
        </m:r>
      </m:oMath>
      <w:r>
        <w:t xml:space="preserve">), consistent with that forecast’s</w:t>
      </w:r>
      <w:r>
        <w:t xml:space="preserve"> </w:t>
      </w:r>
      <w:r>
        <w:t xml:space="preserve">statement that resolving both frequencies and damping times of this</w:t>
      </w:r>
      <w:r>
        <w:t xml:space="preserve"> </w:t>
      </w:r>
      <w:r>
        <w:t xml:space="preserve">pair “typically requires a SNR greater than about</w:t>
      </w:r>
      <w:r>
        <w:t xml:space="preserve"> </w:t>
      </w:r>
      <m:oMath>
        <m:sSup>
          <m:e>
            <m:r>
              <m:t>10</m:t>
            </m:r>
          </m:e>
          <m:sup>
            <m:r>
              <m:t>3</m:t>
            </m:r>
          </m:sup>
        </m:sSup>
      </m:oMath>
      <w:r>
        <w:t xml:space="preserve">”</w:t>
      </w:r>
      <w:r>
        <w:t xml:space="preserve"> </w:t>
      </w:r>
      <w:r>
        <w:t xml:space="preserve">[Figs. 3–4 of [</w:t>
      </w:r>
      <w:hyperlink w:anchor="bib.bib1">
        <w:r>
          <w:rPr>
            <w:rStyle w:val="Hyperlink"/>
          </w:rPr>
          <w:t xml:space="preserve">1</w:t>
        </w:r>
      </w:hyperlink>
      <w:r>
        <w:t xml:space="preserve">]]. Their detector noise and</w:t>
      </w:r>
      <w:r>
        <w:t xml:space="preserve"> </w:t>
      </w:r>
      <w:r>
        <w:t xml:space="preserve">infinite window differ from the white-noise finite window used here,</w:t>
      </w:r>
      <w:r>
        <w:t xml:space="preserve"> </w:t>
      </w:r>
      <w:r>
        <w:t xml:space="preserve">so this is a consistency check rather than a reproduction; exact</w:t>
      </w:r>
      <w:r>
        <w:t xml:space="preserve"> </w:t>
      </w:r>
      <w:r>
        <w:t xml:space="preserve">reproduction of the anchors’ published horizon numbers is the next</w:t>
      </w:r>
      <w:r>
        <w:t xml:space="preserve"> </w:t>
      </w:r>
      <w:r>
        <w:t xml:space="preserve">milestone and is not claimed here.</w:t>
      </w:r>
    </w:p>
    <w:bookmarkEnd w:id="58"/>
    <w:bookmarkStart w:id="59" w:name="S4.p2"/>
    <w:p>
      <w:pPr>
        <w:pStyle w:val="BodyText"/>
      </w:pPr>
      <w:r>
        <w:t xml:space="preserve">The full analysis is a two-script pipeline shipped with the paper’s</w:t>
      </w:r>
      <w:r>
        <w:t xml:space="preserve"> </w:t>
      </w:r>
      <w:r>
        <w:t xml:space="preserve">source:</w:t>
      </w:r>
      <w:r>
        <w:t xml:space="preserve"> </w:t>
      </w:r>
      <w:r>
        <w:t xml:space="preserve">make figures</w:t>
      </w:r>
      <w:r>
        <w:t xml:space="preserve"> </w:t>
      </w:r>
      <w:r>
        <w:t xml:space="preserve">regenerates every figure from the</w:t>
      </w:r>
      <w:r>
        <w:t xml:space="preserve"> </w:t>
      </w:r>
      <w:r>
        <w:t xml:space="preserve">frozen map, and</w:t>
      </w:r>
      <w:r>
        <w:t xml:space="preserve"> </w:t>
      </w:r>
      <w:r>
        <w:t xml:space="preserve">make map</w:t>
      </w:r>
      <w:r>
        <w:t xml:space="preserve"> </w:t>
      </w:r>
      <w:r>
        <w:t xml:space="preserve">regenerates the map itself in</w:t>
      </w:r>
      <w:r>
        <w:t xml:space="preserve"> </w:t>
      </w:r>
      <w:r>
        <w:t xml:space="preserve">about six minutes on a laptop.</w:t>
      </w:r>
    </w:p>
    <w:bookmarkEnd w:id="59"/>
    <w:bookmarkEnd w:id="60"/>
    <w:bookmarkStart w:id="71" w:name="S5"/>
    <w:p>
      <w:pPr>
        <w:pStyle w:val="Heading2"/>
      </w:pPr>
      <w:bookmarkStart w:id="61" w:name="v-results"/>
      <w:r>
        <w:t xml:space="preserve">V</w:t>
      </w:r>
      <w:r>
        <w:t xml:space="preserve"> </w:t>
      </w:r>
      <w:r>
        <w:t xml:space="preserve">Results</w:t>
      </w:r>
      <w:bookmarkEnd w:id="61"/>
    </w:p>
    <w:bookmarkStart w:id="66" w:name="S5.F1"/>
    <w:p>
      <w:pPr>
        <w:pStyle w:val="CaptionedFigure"/>
      </w:pPr>
      <w:bookmarkStart w:id="65" w:name="S5.F1.g1"/>
      <w:r>
        <w:drawing>
          <wp:inline>
            <wp:extent cx="3169084" cy="2296438"/>
            <wp:effectExtent b="0" l="0" r="0" t="0"/>
            <wp:docPr descr="Refer to caption" title="" id="63" name="Picture"/>
            <a:graphic>
              <a:graphicData uri="http://schemas.openxmlformats.org/drawingml/2006/picture">
                <pic:pic>
                  <pic:nvPicPr>
                    <pic:cNvPr descr="figures/fig_map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084" cy="2296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65"/>
    </w:p>
    <w:p>
      <w:pPr>
        <w:pStyle w:val="ImageCaption"/>
      </w:pPr>
      <w:r>
        <w:t xml:space="preserve">Figure 1:</w:t>
      </w:r>
      <w:r>
        <w:t xml:space="preserve"> </w:t>
      </w:r>
      <w:r>
        <w:t xml:space="preserve">Disagreement ratio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sSub>
          <m:e>
            <m:r>
              <m:t>ρ</m:t>
            </m:r>
          </m:e>
          <m:sub>
            <m:r>
              <m:t>C</m:t>
            </m:r>
          </m:sub>
        </m:sSub>
        <m:r>
          <m:rPr>
            <m:sty m:val="p"/>
          </m:rPr>
          <m:t>/</m:t>
        </m:r>
        <m:sSub>
          <m:e>
            <m:r>
              <m:t>ρ</m:t>
            </m:r>
          </m:e>
          <m:sub>
            <m:r>
              <m:t>R</m:t>
            </m:r>
          </m:sub>
        </m:sSub>
      </m:oMath>
      <w:r>
        <w:t xml:space="preserve"> </w:t>
      </w:r>
      <w:r>
        <w:t xml:space="preserve">of</w:t>
      </w:r>
      <w:r>
        <w:t xml:space="preserve"> </w:t>
      </w:r>
      <w:hyperlink w:anchor="S3.E6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</w:t>
        </w:r>
      </w:hyperlink>
      <w:r>
        <w:t xml:space="preserve"> </w:t>
      </w:r>
      <w:r>
        <w:t xml:space="preserve">for the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  <m:r>
          <m:rPr>
            <m:nor/>
            <m:sty m:val="p"/>
          </m:rPr>
          <m:t>–</m:t>
        </m:r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)</m:t>
        </m:r>
      </m:oMath>
      <w:r>
        <w:t xml:space="preserve"> </w:t>
      </w:r>
      <w:r>
        <w:t xml:space="preserve">pair over remnant spin and window start</w:t>
      </w:r>
      <w:r>
        <w:t xml:space="preserve"> </w:t>
      </w:r>
      <w:r>
        <w:t xml:space="preserve">(</w:t>
      </w:r>
      <m:oMath>
        <m:r>
          <m:t>T</m:t>
        </m:r>
        <m:r>
          <m:rPr>
            <m:sty m:val="p"/>
          </m:rPr>
          <m:t>=</m:t>
        </m:r>
        <m:r>
          <m:t>60</m:t>
        </m:r>
        <m:r>
          <m:t>M</m:t>
        </m:r>
      </m:oMath>
      <w:r>
        <w:t xml:space="preserve">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</m:t>
        </m:r>
      </m:oMath>
      <w:r>
        <w:t xml:space="preserve">, median over 24 phases).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exceeds 4.25</w:t>
      </w:r>
      <w:r>
        <w:t xml:space="preserve"> </w:t>
      </w:r>
      <w:r>
        <w:t xml:space="preserve">everywhere and peaks at 8.1 as</w:t>
      </w:r>
      <w:r>
        <w:t xml:space="preserve"> </w:t>
      </w:r>
      <m:oMath>
        <m:r>
          <m:t>χ</m:t>
        </m:r>
        <m:r>
          <m:rPr>
            <m:sty m:val="p"/>
          </m:rPr>
          <m:t>→</m:t>
        </m:r>
        <m:r>
          <m:t>0.99</m:t>
        </m:r>
      </m:oMath>
      <w:r>
        <w:t xml:space="preserve">, where the pair</w:t>
      </w:r>
      <w:r>
        <w:t xml:space="preserve"> </w:t>
      </w:r>
      <w:r>
        <w:t xml:space="preserve">degenerates; the field is flat in window start to better than</w:t>
      </w:r>
      <w:r>
        <w:t xml:space="preserve"> </w:t>
      </w:r>
      <m:oMath>
        <m:r>
          <m:rPr>
            <m:sty m:val="p"/>
          </m:rPr>
          <m:t>±</m:t>
        </m:r>
        <m:r>
          <m:t>1</m:t>
        </m:r>
        <m:r>
          <m:rPr>
            <m:sty m:val="p"/>
          </m:rPr>
          <m:t>%</m:t>
        </m:r>
      </m:oMath>
      <w:r>
        <w:t xml:space="preserve"> </w:t>
      </w:r>
      <w:r>
        <w:t xml:space="preserve">at every spin (</w:t>
      </w:r>
      <w:hyperlink w:anchor="S6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VI</w:t>
        </w:r>
      </w:hyperlink>
      <w:r>
        <w:t xml:space="preserve">). The star marks</w:t>
      </w:r>
      <w:r>
        <w:t xml:space="preserve"> </w:t>
      </w:r>
      <m:oMath>
        <m:r>
          <m:rPr>
            <m:sty m:val="p"/>
          </m:rPr>
          <m:t>(</m:t>
        </m:r>
        <m:r>
          <m:t>χ</m:t>
        </m:r>
        <m:r>
          <m:rPr>
            <m:sty m:val="p"/>
          </m:rPr>
          <m:t>,</m:t>
        </m:r>
        <m:sSub>
          <m:e>
            <m:r>
              <m:t>t</m:t>
            </m:r>
          </m:e>
          <m:sub>
            <m:r>
              <m:t>0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=</m:t>
        </m:r>
        <m:r>
          <m:rPr>
            <m:sty m:val="p"/>
          </m:rPr>
          <m:t>(</m:t>
        </m:r>
        <m:r>
          <m:t>0.69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, the GW150914-like point of</w:t>
      </w:r>
      <w:r>
        <w:t xml:space="preserve"> </w:t>
      </w:r>
      <w:hyperlink w:anchor="S5.T1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I</w:t>
        </w:r>
      </w:hyperlink>
      <w:r>
        <w:t xml:space="preserve">. The colour scale is banded, not</w:t>
      </w:r>
      <w:r>
        <w:t xml:space="preserve"> </w:t>
      </w:r>
      <w:r>
        <w:t xml:space="preserve">linear: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strongly right-skewed, with</w:t>
      </w:r>
      <w:r>
        <w:t xml:space="preserve"> </w:t>
      </w:r>
      <m:oMath>
        <m:r>
          <m:t>97</m:t>
        </m:r>
        <m:r>
          <m:rPr>
            <m:sty m:val="p"/>
          </m:rPr>
          <m:t>%</m:t>
        </m:r>
      </m:oMath>
      <w:r>
        <w:t xml:space="preserve"> </w:t>
      </w:r>
      <w:r>
        <w:t xml:space="preserve">of grid points below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5</m:t>
        </m:r>
      </m:oMath>
      <w:r>
        <w:t xml:space="preserve">, so the band edges printed on the colourbar are near-quantiles</w:t>
      </w:r>
      <w:r>
        <w:t xml:space="preserve"> </w:t>
      </w:r>
      <w:r>
        <w:t xml:space="preserve">of the field at the low end and widen over the high-spin tail. Bands</w:t>
      </w:r>
      <w:r>
        <w:t xml:space="preserve"> </w:t>
      </w:r>
      <w:r>
        <w:t xml:space="preserve">are drawn at uniform width; the tick values are the true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at each</w:t>
      </w:r>
      <w:r>
        <w:t xml:space="preserve"> </w:t>
      </w:r>
      <w:r>
        <w:t xml:space="preserve">edge.</w:t>
      </w:r>
    </w:p>
    <w:bookmarkEnd w:id="66"/>
    <w:bookmarkStart w:id="67" w:name="S5.T1"/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1584"/>
              <w:gridCol w:w="1584"/>
              <w:gridCol w:w="1584"/>
              <w:gridCol w:w="1584"/>
              <w:gridCol w:w="1584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Window start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sSub>
                      <m:e>
                        <m:r>
                          <m:t>ρ</m:t>
                        </m:r>
                      </m:e>
                      <m:sub>
                        <m:r>
                          <m:t>R</m:t>
                        </m:r>
                      </m:sub>
                    </m:sSub>
                  </m:oMath>
                  <w:r>
                    <w:t xml:space="preserve"> </w:t>
                  </w:r>
                  <w:r>
                    <w:t xml:space="preserve">(clean)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sSub>
                      <m:e>
                        <m:r>
                          <m:t>ρ</m:t>
                        </m:r>
                      </m:e>
                      <m:sub>
                        <m:r>
                          <m:t>C</m:t>
                        </m:r>
                      </m:sub>
                    </m:sSub>
                  </m:oMath>
                  <w:r>
                    <w:t xml:space="preserve"> </w:t>
                  </w:r>
                  <w:r>
                    <w:t xml:space="preserve">(joint)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D</m:t>
                    </m:r>
                  </m:oMath>
                  <w:r>
                    <w:t xml:space="preserve">​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m:oMath>
                    <m:r>
                      <m:t>κ</m:t>
                    </m:r>
                  </m:oMath>
                  <w:r>
                    <w:t xml:space="preserve">​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m:oMath>
                    <m:sSub>
                      <m:e>
                        <m:r>
                          <m:t>t</m:t>
                        </m:r>
                      </m:e>
                      <m:sub>
                        <m: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r>
                      <m:t>0</m:t>
                    </m:r>
                  </m:oMath>
                  <w:r>
                    <w:t xml:space="preserve">​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71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310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4.29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13.7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m:oMath>
                    <m:sSub>
                      <m:e>
                        <m:r>
                          <m:t>t</m:t>
                        </m:r>
                      </m:e>
                      <m:sub>
                        <m: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r>
                      <m:t>10</m:t>
                    </m:r>
                    <m:r>
                      <m:t>M</m:t>
                    </m:r>
                  </m:oMath>
                  <w:r>
                    <w:t xml:space="preserve">​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519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2204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4.30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13.7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m:oMath>
                    <m:sSub>
                      <m:e>
                        <m:r>
                          <m:t>t</m:t>
                        </m:r>
                      </m:e>
                      <m:sub>
                        <m:r>
                          <m:t>0</m:t>
                        </m:r>
                      </m:sub>
                    </m:sSub>
                    <m:r>
                      <m:rPr>
                        <m:sty m:val="p"/>
                      </m:rPr>
                      <m:t>=</m:t>
                    </m:r>
                    <m:r>
                      <m:t>20</m:t>
                    </m:r>
                    <m:r>
                      <m:t>M</m:t>
                    </m:r>
                  </m:oMath>
                  <w:r>
                    <w:t xml:space="preserve">​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2217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9635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4.29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13.7</w:t>
                  </w:r>
                </w:p>
              </w:tc>
            </w:tr>
          </w:tbl>
          <w:p/>
        </w:tc>
      </w:tr>
    </w:tbl>
    <w:p>
      <w:pPr>
        <w:pStyle w:val="ImageCaption"/>
      </w:pPr>
      <w:r>
        <w:t xml:space="preserve">TABLE I:</w:t>
      </w:r>
      <w:r>
        <w:t xml:space="preserve"> </w:t>
      </w:r>
      <w:r>
        <w:t xml:space="preserve">Critical SNR under the two readings at</w:t>
      </w:r>
      <w:r>
        <w:t xml:space="preserve"> </w:t>
      </w:r>
      <m:oMath>
        <m:r>
          <m:t>χ</m:t>
        </m:r>
        <m:r>
          <m:rPr>
            <m:sty m:val="p"/>
          </m:rPr>
          <m:t>=</m:t>
        </m:r>
        <m:r>
          <m:t>0.69</m:t>
        </m:r>
      </m:oMath>
      <w:r>
        <w:t xml:space="preserve">,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60</m:t>
        </m:r>
        <m:r>
          <m:t>M</m:t>
        </m:r>
      </m:oMath>
      <w:r>
        <w:t xml:space="preserve">,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(median over phase).</w:t>
      </w:r>
      <w:r>
        <w:t xml:space="preserve"> </w:t>
      </w:r>
      <m:oMath>
        <m:r>
          <m:t>κ</m:t>
        </m:r>
      </m:oMath>
      <w:r>
        <w:t xml:space="preserve"> </w:t>
      </w:r>
      <w:r>
        <w:t xml:space="preserve">is the</w:t>
      </w:r>
      <w:r>
        <w:t xml:space="preserve"> </w:t>
      </w:r>
      <w:r>
        <w:t xml:space="preserve">Gram condition number of</w:t>
      </w:r>
      <w:r>
        <w:t xml:space="preserve"> </w:t>
      </w:r>
      <w:hyperlink w:anchor="S3.E7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; its window-start</w:t>
      </w:r>
      <w:r>
        <w:t xml:space="preserve"> </w:t>
      </w:r>
      <w:r>
        <w:t xml:space="preserve">invariance is exact (</w:t>
      </w:r>
      <w:hyperlink w:anchor="S6">
        <w:r>
          <w:rPr>
            <w:rStyle w:val="Hyperlink"/>
          </w:rPr>
          <w:t xml:space="preserve">Section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VI</w:t>
        </w:r>
      </w:hyperlink>
      <w:r>
        <w:t xml:space="preserve">).</w:t>
      </w:r>
    </w:p>
    <w:bookmarkEnd w:id="67"/>
    <w:bookmarkStart w:id="68" w:name="S5.p1"/>
    <w:p>
      <w:pPr>
        <w:pStyle w:val="BodyText"/>
      </w:pPr>
      <w:hyperlink w:anchor="S5.F1">
        <w:r>
          <w:rPr>
            <w:rStyle w:val="Hyperlink"/>
          </w:rPr>
          <w:t xml:space="preserve">Figure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maps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for the fundamental–overtone pair. Ignoring</w:t>
      </w:r>
      <w:r>
        <w:t xml:space="preserve"> </w:t>
      </w:r>
      <w:r>
        <w:t xml:space="preserve">the correlations understates the required SNR by a factor of</w:t>
      </w:r>
      <w:r>
        <w:t xml:space="preserve"> </w:t>
      </w:r>
      <m:oMath>
        <m:r>
          <m:t>4.25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8.1</m:t>
        </m:r>
      </m:oMath>
      <w:r>
        <w:t xml:space="preserve"> </w:t>
      </w:r>
      <w:r>
        <w:t xml:space="preserve">over the</w:t>
      </w:r>
      <w:r>
        <w:t xml:space="preserve"> </w:t>
      </w:r>
      <w:r>
        <w:rPr>
          <w:i/>
          <w:iCs/>
        </w:rPr>
        <w:t xml:space="preserve">entire</w:t>
      </w:r>
      <w:r>
        <w:t xml:space="preserve"> </w:t>
      </w:r>
      <w:r>
        <w:t xml:space="preserve">physical range: there is no</w:t>
      </w:r>
      <w:r>
        <w:t xml:space="preserve"> </w:t>
      </w:r>
      <w:r>
        <w:t xml:space="preserve">corner of spin or window choice where the shortcut is safe for this</w:t>
      </w:r>
      <w:r>
        <w:t xml:space="preserve"> </w:t>
      </w:r>
      <w:r>
        <w:t xml:space="preserve">pair. At the GW150914-like point</w:t>
      </w:r>
      <w:r>
        <w:t xml:space="preserve"> </w:t>
      </w:r>
      <m:oMath>
        <m:r>
          <m:rPr>
            <m:sty m:val="p"/>
          </m:rPr>
          <m:t>(</m:t>
        </m:r>
        <m:r>
          <m:t>χ</m:t>
        </m:r>
        <m:r>
          <m:rPr>
            <m:sty m:val="p"/>
          </m:rPr>
          <m:t>,</m:t>
        </m:r>
        <m:sSub>
          <m:e>
            <m:r>
              <m:t>t</m:t>
            </m:r>
          </m:e>
          <m:sub>
            <m:r>
              <m:t>0</m:t>
            </m:r>
          </m:sub>
        </m:sSub>
        <m:r>
          <m:rPr>
            <m:sty m:val="p"/>
          </m:rPr>
          <m:t>)</m:t>
        </m:r>
        <m:r>
          <m:rPr>
            <m:sty m:val="p"/>
          </m:rPr>
          <m:t>=</m:t>
        </m:r>
        <m:r>
          <m:rPr>
            <m:sty m:val="p"/>
          </m:rPr>
          <m:t>(</m:t>
        </m:r>
        <m:r>
          <m:t>0.69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 </w:t>
      </w:r>
      <w:r>
        <w:t xml:space="preserve">the</w:t>
      </w:r>
      <w:r>
        <w:t xml:space="preserve"> </w:t>
      </w:r>
      <w:r>
        <w:t xml:space="preserve">single-mode baseline declares the pair resolvable at</w:t>
      </w:r>
      <w:r>
        <w:t xml:space="preserve"> </w:t>
      </w:r>
      <m:oMath>
        <m:r>
          <m:t>ρ</m:t>
        </m:r>
        <m:r>
          <m:rPr>
            <m:sty m:val="p"/>
          </m:rPr>
          <m:t>≈</m:t>
        </m:r>
        <m:r>
          <m:t>71</m:t>
        </m:r>
      </m:oMath>
      <w:r>
        <w:t xml:space="preserve">, while the correlation-aware construction requires</w:t>
      </w:r>
      <w:r>
        <w:t xml:space="preserve"> </w:t>
      </w:r>
      <m:oMath>
        <m:r>
          <m:t>ρ</m:t>
        </m:r>
        <m:r>
          <m:rPr>
            <m:sty m:val="p"/>
          </m:rPr>
          <m:t>≈</m:t>
        </m:r>
        <m:r>
          <m:t>310</m:t>
        </m:r>
      </m:oMath>
      <w:r>
        <w:t xml:space="preserve"> </w:t>
      </w:r>
      <w:r>
        <w:t xml:space="preserve">(</w:t>
      </w:r>
      <w:hyperlink w:anchor="S5.T1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I</w:t>
        </w:r>
      </w:hyperlink>
      <w:r>
        <w:t xml:space="preserve">). Both absolute thresholds grow steeply as the</w:t>
      </w:r>
      <w:r>
        <w:t xml:space="preserve"> </w:t>
      </w:r>
      <w:r>
        <w:t xml:space="preserve">window start moves away from the peak and the overtone decays, but</w:t>
      </w:r>
      <w:r>
        <w:t xml:space="preserve"> </w:t>
      </w:r>
      <w:r>
        <w:t xml:space="preserve">their ratio stays near</w:t>
      </w:r>
      <w:r>
        <w:t xml:space="preserve"> </w:t>
      </w:r>
      <m:oMath>
        <m:r>
          <m:t>4.3</m:t>
        </m:r>
      </m:oMath>
      <w:r>
        <w:t xml:space="preserve">; the penalty is a property of the</w:t>
      </w:r>
      <w:r>
        <w:t xml:space="preserve"> </w:t>
      </w:r>
      <w:r>
        <w:t xml:space="preserve">pair, not of the window. Across the sampled grid the frequency</w:t>
      </w:r>
      <w:r>
        <w:t xml:space="preserve"> </w:t>
      </w:r>
      <w:r>
        <w:t xml:space="preserve">condition of</w:t>
      </w:r>
      <w:r>
        <w:t xml:space="preserve"> </w:t>
      </w:r>
      <w:hyperlink w:anchor="S3.E5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5</w:t>
        </w:r>
      </w:hyperlink>
      <w:r>
        <w:t xml:space="preserve"> </w:t>
      </w:r>
      <w:r>
        <w:t xml:space="preserve">always sets the threshold (the</w:t>
      </w:r>
      <w:r>
        <w:t xml:space="preserve"> </w:t>
      </w:r>
      <w:r>
        <w:t xml:space="preserve">damping-time condition never binds for either construction), so the</w:t>
      </w:r>
      <w:r>
        <w:t xml:space="preserve"> </w:t>
      </w:r>
      <w:r>
        <w:t xml:space="preserve">thresholds reported here are frequency-resolution limited.</w:t>
      </w:r>
    </w:p>
    <w:bookmarkEnd w:id="68"/>
    <w:bookmarkStart w:id="69" w:name="S5.p2"/>
    <w:p>
      <w:pPr>
        <w:pStyle w:val="BodyText"/>
      </w:pPr>
      <w:r>
        <w:t xml:space="preserve">The structural driver is the overlap, and</w:t>
      </w:r>
      <w:r>
        <w:t xml:space="preserve"> </w:t>
      </w:r>
      <w:hyperlink w:anchor="S3.E8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 </w:t>
      </w:r>
      <w:r>
        <w:t xml:space="preserve">shows</w:t>
      </w:r>
      <w:r>
        <w:t xml:space="preserve"> </w:t>
      </w:r>
      <w:r>
        <w:t xml:space="preserve">what sets its size. At</w:t>
      </w:r>
      <w:r>
        <w:t xml:space="preserve"> </w:t>
      </w:r>
      <m:oMath>
        <m:r>
          <m:t>χ</m:t>
        </m:r>
        <m:r>
          <m:rPr>
            <m:sty m:val="p"/>
          </m:rPr>
          <m:t>=</m:t>
        </m:r>
        <m:r>
          <m:t>0.69</m:t>
        </m:r>
      </m:oMath>
      <w:r>
        <w:t xml:space="preserve"> </w:t>
      </w:r>
      <w:r>
        <w:t xml:space="preserve">the closed form gives</w:t>
      </w:r>
      <w:r>
        <w:t xml:space="preserve"> </w:t>
      </w:r>
      <m:oMath>
        <m:r>
          <m:t>μ</m:t>
        </m:r>
        <m:r>
          <m:rPr>
            <m:sty m:val="p"/>
          </m:rPr>
          <m:t>=</m:t>
        </m:r>
        <m:r>
          <m:t>0.8638</m:t>
        </m:r>
      </m:oMath>
      <w:r>
        <w:t xml:space="preserve">, matching the pipeline to four digits</w:t>
      </w:r>
      <w:r>
        <w:t xml:space="preserve"> </w:t>
      </w:r>
      <w:r>
        <w:t xml:space="preserve">(</w:t>
      </w:r>
      <m:oMath>
        <m:r>
          <m:t>κ</m:t>
        </m:r>
        <m:r>
          <m:rPr>
            <m:sty m:val="p"/>
          </m:rPr>
          <m:t>=</m:t>
        </m:r>
        <m:r>
          <m:t>13.7</m:t>
        </m:r>
      </m:oMath>
      <w:r>
        <w:t xml:space="preserve">); its equal-frequency limit is</w:t>
      </w:r>
      <w:r>
        <w:t xml:space="preserve"> </w:t>
      </w:r>
      <m:oMath>
        <m:r>
          <m:t>0.8643</m:t>
        </m:r>
      </m:oMath>
      <w:r>
        <w:t xml:space="preserve">, so the</w:t>
      </w:r>
      <w:r>
        <w:t xml:space="preserve"> </w:t>
      </w:r>
      <m:oMath>
        <m:r>
          <m:t>2.2</m:t>
        </m:r>
        <m:r>
          <m:rPr>
            <m:sty m:val="p"/>
          </m:rPr>
          <m:t>%</m:t>
        </m:r>
      </m:oMath>
      <w:r>
        <w:t xml:space="preserve"> </w:t>
      </w:r>
      <w:r>
        <w:t xml:space="preserve">frequency splitting shifts the overlap by well under</w:t>
      </w:r>
      <w:r>
        <w:t xml:space="preserve"> </w:t>
      </w:r>
      <m:oMath>
        <m:r>
          <m:t>0.1</m:t>
        </m:r>
        <m:r>
          <m:rPr>
            <m:sty m:val="p"/>
          </m:rPr>
          <m:t>%</m:t>
        </m:r>
      </m:oMath>
      <w:r>
        <w:t xml:space="preserve">. So</w:t>
      </w:r>
      <w:r>
        <w:t xml:space="preserve"> </w:t>
      </w:r>
      <m:oMath>
        <m:r>
          <m:t>μ</m:t>
        </m:r>
      </m:oMath>
      <w:r>
        <w:t xml:space="preserve">, and with it the penalty, is set by the threefold</w:t>
      </w:r>
      <w:r>
        <w:t xml:space="preserve"> </w:t>
      </w:r>
      <w:r>
        <w:t xml:space="preserve">damping-time difference almost alone, not by the frequency proximity</w:t>
      </w:r>
      <w:r>
        <w:t xml:space="preserve"> </w:t>
      </w:r>
      <w:r>
        <w:t xml:space="preserve">the criterion is named for. At</w:t>
      </w:r>
      <w:r>
        <w:t xml:space="preserve"> </w:t>
      </w:r>
      <m:oMath>
        <m:r>
          <m:t>χ</m:t>
        </m:r>
        <m:r>
          <m:rPr>
            <m:sty m:val="p"/>
          </m:rPr>
          <m:t>=</m:t>
        </m:r>
        <m:r>
          <m:t>0.99</m:t>
        </m:r>
      </m:oMath>
      <w:r>
        <w:t xml:space="preserve">,</w:t>
      </w:r>
      <w:r>
        <w:t xml:space="preserve"> </w:t>
      </w:r>
      <m:oMath>
        <m:r>
          <m:t>μ</m:t>
        </m:r>
        <m:r>
          <m:rPr>
            <m:sty m:val="p"/>
          </m:rPr>
          <m:t>=</m:t>
        </m:r>
        <m:r>
          <m:t>0.878</m:t>
        </m:r>
      </m:oMath>
      <w:r>
        <w:t xml:space="preserve"> </w:t>
      </w:r>
      <w:r>
        <w:t xml:space="preserve">(</w:t>
      </w:r>
      <m:oMath>
        <m:r>
          <m:t>κ</m:t>
        </m:r>
        <m:r>
          <m:rPr>
            <m:sty m:val="p"/>
          </m:rPr>
          <m:t>=</m:t>
        </m:r>
        <m:r>
          <m:t>15.4</m:t>
        </m:r>
      </m:oMath>
      <w:r>
        <w:t xml:space="preserve">). The analytic amplitude-only</w:t>
      </w:r>
      <w:r>
        <w:t xml:space="preserve"> </w:t>
      </w:r>
      <w:r>
        <w:t xml:space="preserve">penalty of</w:t>
      </w:r>
      <w:r>
        <w:t xml:space="preserve"> </w:t>
      </w:r>
      <w:hyperlink w:anchor="S3.E7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7</w:t>
        </w:r>
      </w:hyperlink>
      <w:r>
        <w:t xml:space="preserve">,</w:t>
      </w:r>
      <w:r>
        <w:t xml:space="preserve"> </w:t>
      </w:r>
      <m:oMath>
        <m:sSup>
          <m:e>
            <m:r>
              <m:rPr>
                <m:sty m:val="p"/>
              </m:rPr>
              <m:t>(</m:t>
            </m:r>
            <m:r>
              <m:t>1</m:t>
            </m:r>
            <m:r>
              <m:rPr>
                <m:sty m:val="p"/>
              </m:rPr>
              <m:t>−</m:t>
            </m:r>
            <m:sSup>
              <m:e>
                <m:r>
                  <m:t>μ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)</m:t>
            </m:r>
          </m:e>
          <m:sup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/</m:t>
            </m:r>
            <m:r>
              <m:t>2</m:t>
            </m:r>
          </m:sup>
        </m:sSup>
        <m:r>
          <m:rPr>
            <m:sty m:val="p"/>
          </m:rPr>
          <m:t>=</m:t>
        </m:r>
        <m:r>
          <m:t>1.98</m:t>
        </m:r>
      </m:oMath>
      <w:r>
        <w:t xml:space="preserve">, accounts</w:t>
      </w:r>
      <w:r>
        <w:t xml:space="preserve"> </w:t>
      </w:r>
      <w:r>
        <w:t xml:space="preserve">for about half of the measured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4.29</m:t>
        </m:r>
      </m:oMath>
      <w:r>
        <w:t xml:space="preserve">; the rest comes from</w:t>
      </w:r>
      <w:r>
        <w:t xml:space="preserve"> </w:t>
      </w:r>
      <w:r>
        <w:t xml:space="preserve">cross-parameter degeneracies that only the full</w:t>
      </w:r>
      <w:r>
        <w:t xml:space="preserve"> </w:t>
      </w:r>
      <m:oMath>
        <m:r>
          <m:t>8</m:t>
        </m:r>
        <m:r>
          <m:rPr>
            <m:sty m:val="p"/>
          </m:rPr>
          <m:t>×</m:t>
        </m:r>
        <m:r>
          <m:t>8</m:t>
        </m:r>
      </m:oMath>
      <w:r>
        <w:t xml:space="preserve"> </w:t>
      </w:r>
      <w:r>
        <w:t xml:space="preserve">analysis</w:t>
      </w:r>
      <w:r>
        <w:t xml:space="preserve"> </w:t>
      </w:r>
      <w:r>
        <w:t xml:space="preserve">sees, and a per-parameter attribution of it has not been computed</w:t>
      </w:r>
      <w:r>
        <w:t xml:space="preserve"> </w:t>
      </w:r>
      <w:r>
        <w:t xml:space="preserve">here. The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–</w:t>
      </w:r>
      <m:oMath>
        <m:r>
          <m:rPr>
            <m:sty m:val="p"/>
          </m:rPr>
          <m:t>(</m:t>
        </m:r>
        <m:r>
          <m:t>3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 </w:t>
      </w:r>
      <w:r>
        <w:t xml:space="preserve">control pair</w:t>
      </w:r>
      <w:r>
        <w:t xml:space="preserve"> </w:t>
      </w:r>
      <w:r>
        <w:t xml:space="preserve">confirms pair-specificity: its splitting is large,</w:t>
      </w:r>
      <w:r>
        <w:t xml:space="preserve"> </w:t>
      </w:r>
      <m:oMath>
        <m:r>
          <m:t>μ</m:t>
        </m:r>
      </m:oMath>
      <w:r>
        <w:t xml:space="preserve"> </w:t>
      </w:r>
      <w:r>
        <w:t xml:space="preserve">is small,</w:t>
      </w:r>
      <w:r>
        <w:t xml:space="preserve"> </w:t>
      </w:r>
      <w:r>
        <w:t xml:space="preserve">and the phase-median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stays between</w:t>
      </w:r>
      <w:r>
        <w:t xml:space="preserve"> </w:t>
      </w:r>
      <m:oMath>
        <m:r>
          <m:t>1.0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2.0</m:t>
        </m:r>
      </m:oMath>
      <w:r>
        <w:t xml:space="preserve"> </w:t>
      </w:r>
      <w:r>
        <w:t xml:space="preserve">(median</w:t>
      </w:r>
      <w:r>
        <w:t xml:space="preserve"> </w:t>
      </w:r>
      <m:oMath>
        <m:r>
          <m:t>1.4</m:t>
        </m:r>
      </m:oMath>
      <w:r>
        <w:t xml:space="preserve">; individual phases reach at most</w:t>
      </w:r>
      <w:r>
        <w:t xml:space="preserve"> </w:t>
      </w:r>
      <m:oMath>
        <m:r>
          <m:t>2.1</m:t>
        </m:r>
      </m:oMath>
      <w:r>
        <w:t xml:space="preserve">), approaching</w:t>
      </w:r>
      <w:r>
        <w:t xml:space="preserve"> </w:t>
      </w:r>
      <w:r>
        <w:t xml:space="preserve">unity at high spin (</w:t>
      </w:r>
      <w:hyperlink w:anchor="S6.F2">
        <w:r>
          <w:rPr>
            <w:rStyle w:val="Hyperlink"/>
          </w:rPr>
          <w:t xml:space="preserve">Fig.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a).</w:t>
      </w:r>
    </w:p>
    <w:bookmarkEnd w:id="69"/>
    <w:bookmarkStart w:id="70" w:name="S5.p3"/>
    <w:p>
      <w:pPr>
        <w:pStyle w:val="BodyText"/>
      </w:pPr>
      <w:r>
        <w:t xml:space="preserve">Two consequences follow. First, the single-mode shortcut is</w:t>
      </w:r>
      <w:r>
        <w:t xml:space="preserve"> </w:t>
      </w:r>
      <w:r>
        <w:t xml:space="preserve">tempting for the same reason the joint calculation is hard: the</w:t>
      </w:r>
      <w:r>
        <w:t xml:space="preserve"> </w:t>
      </w:r>
      <w:r>
        <w:t xml:space="preserve">cross-terms [</w:t>
      </w:r>
      <w:hyperlink w:anchor="bib.bib1">
        <w:r>
          <w:rPr>
            <w:rStyle w:val="Hyperlink"/>
          </w:rPr>
          <w:t xml:space="preserve">1</w:t>
        </w:r>
      </w:hyperlink>
      <w:r>
        <w:t xml:space="preserve">]. Wherever it is used, it overstates</w:t>
      </w:r>
      <w:r>
        <w:t xml:space="preserve"> </w:t>
      </w:r>
      <w:r>
        <w:t xml:space="preserve">the prospects of fundamental–overtone spectroscopy by a factor of</w:t>
      </w:r>
      <w:r>
        <w:t xml:space="preserve"> </w:t>
      </w:r>
      <w:r>
        <w:t xml:space="preserve">about four in required SNR; forecasts built on the joint Fisher matrix,</w:t>
      </w:r>
      <w:r>
        <w:t xml:space="preserve"> </w:t>
      </w:r>
      <w:r>
        <w:t xml:space="preserve">including the anchors here</w:t>
      </w:r>
      <w:r>
        <w:t xml:space="preserve"> </w:t>
      </w:r>
      <w:r>
        <w:t xml:space="preserve">[</w:t>
      </w:r>
      <w:hyperlink w:anchor="bib.bib1">
        <w:r>
          <w:rPr>
            <w:rStyle w:val="Hyperlink"/>
          </w:rPr>
          <w:t xml:space="preserve">1</w:t>
        </w:r>
      </w:hyperlink>
      <w:r>
        <w:t xml:space="preserve">,</w:t>
      </w:r>
      <w:r>
        <w:t xml:space="preserve"> </w:t>
      </w:r>
      <w:hyperlink w:anchor="bib.bib4">
        <w:r>
          <w:rPr>
            <w:rStyle w:val="Hyperlink"/>
          </w:rPr>
          <w:t xml:space="preserve">4</w:t>
        </w:r>
      </w:hyperlink>
      <w:r>
        <w:t xml:space="preserve">,</w:t>
      </w:r>
      <w:r>
        <w:t xml:space="preserve"> </w:t>
      </w:r>
      <w:hyperlink w:anchor="bib.bib5">
        <w:r>
          <w:rPr>
            <w:rStyle w:val="Hyperlink"/>
          </w:rPr>
          <w:t xml:space="preserve">5</w:t>
        </w:r>
      </w:hyperlink>
      <w:r>
        <w:t xml:space="preserve">], are on</w:t>
      </w:r>
      <w:r>
        <w:t xml:space="preserve"> </w:t>
      </w:r>
      <w:r>
        <w:t xml:space="preserve">the correct side of this gap. Second, both constructions place</w:t>
      </w:r>
      <w:r>
        <w:t xml:space="preserve"> </w:t>
      </w:r>
      <w:r>
        <w:t xml:space="preserve">both-parameter resolvability of the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  <m:r>
          <m:rPr>
            <m:nor/>
            <m:sty m:val="p"/>
          </m:rPr>
          <m:t>–</m:t>
        </m:r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)</m:t>
        </m:r>
      </m:oMath>
      <w:r>
        <w:t xml:space="preserve"> </w:t>
      </w:r>
      <w:r>
        <w:t xml:space="preserve">pair at SNRs well</w:t>
      </w:r>
      <w:r>
        <w:t xml:space="preserve"> </w:t>
      </w:r>
      <w:r>
        <w:t xml:space="preserve">beyond those of the events analyzed in the overtone dispute,</w:t>
      </w:r>
      <w:r>
        <w:t xml:space="preserve"> </w:t>
      </w:r>
      <w:r>
        <w:t xml:space="preserve">consistent with that dispute remaining open</w:t>
      </w:r>
      <w:r>
        <w:t xml:space="preserve"> </w:t>
      </w:r>
      <w:r>
        <w:t xml:space="preserve">[</w:t>
      </w:r>
      <w:hyperlink w:anchor="bib.bib2">
        <w:r>
          <w:rPr>
            <w:rStyle w:val="Hyperlink"/>
          </w:rPr>
          <w:t xml:space="preserve">2</w:t>
        </w:r>
      </w:hyperlink>
      <w:r>
        <w:t xml:space="preserve">,</w:t>
      </w:r>
      <w:r>
        <w:t xml:space="preserve"> </w:t>
      </w:r>
      <w:hyperlink w:anchor="bib.bib3">
        <w:r>
          <w:rPr>
            <w:rStyle w:val="Hyperlink"/>
          </w:rPr>
          <w:t xml:space="preserve">3</w:t>
        </w:r>
      </w:hyperlink>
      <w:r>
        <w:t xml:space="preserve">];</w:t>
      </w:r>
      <w:r>
        <w:t xml:space="preserve"> </w:t>
      </w:r>
      <w:r>
        <w:t xml:space="preserve">this work takes no position on that event.</w:t>
      </w:r>
    </w:p>
    <w:bookmarkEnd w:id="70"/>
    <w:bookmarkEnd w:id="71"/>
    <w:bookmarkStart w:id="80" w:name="S6"/>
    <w:p>
      <w:pPr>
        <w:pStyle w:val="Heading2"/>
      </w:pPr>
      <w:bookmarkStart w:id="72" w:name="vi-robustness"/>
      <w:r>
        <w:t xml:space="preserve">VI</w:t>
      </w:r>
      <w:r>
        <w:t xml:space="preserve"> </w:t>
      </w:r>
      <w:r>
        <w:t xml:space="preserve">Robustness</w:t>
      </w:r>
      <w:bookmarkEnd w:id="72"/>
    </w:p>
    <w:bookmarkStart w:id="77" w:name="S6.F2"/>
    <w:p>
      <w:pPr>
        <w:pStyle w:val="CaptionedFigure"/>
      </w:pPr>
      <w:bookmarkStart w:id="76" w:name="S6.F2.g1"/>
      <w:r>
        <w:drawing>
          <wp:inline>
            <wp:extent cx="3169084" cy="3674301"/>
            <wp:effectExtent b="0" l="0" r="0" t="0"/>
            <wp:docPr descr="Refer to caption" title="" id="74" name="Picture"/>
            <a:graphic>
              <a:graphicData uri="http://schemas.openxmlformats.org/drawingml/2006/picture">
                <pic:pic>
                  <pic:nvPicPr>
                    <pic:cNvPr descr="figures/fig_robust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084" cy="36743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76"/>
    </w:p>
    <w:p>
      <w:pPr>
        <w:pStyle w:val="ImageCaption"/>
      </w:pPr>
      <w:r>
        <w:t xml:space="preserve">Figure 2:</w:t>
      </w:r>
      <w:r>
        <w:t xml:space="preserve"> </w:t>
      </w:r>
      <w:r>
        <w:t xml:space="preserve">(a)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at</w:t>
      </w:r>
      <w:r>
        <w:t xml:space="preserve"> </w:t>
      </w:r>
      <m:oMath>
        <m:sSub>
          <m:e>
            <m:r>
              <m:t>t</m:t>
            </m:r>
          </m:e>
          <m:sub>
            <m:r>
              <m:t>0</m:t>
            </m:r>
          </m:sub>
        </m:sSub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versus spin for the</w:t>
      </w:r>
      <w:r>
        <w:t xml:space="preserve"> </w:t>
      </w:r>
      <w:r>
        <w:t xml:space="preserve">fundamental–overtone pair and the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–</w:t>
      </w:r>
      <m:oMath>
        <m:r>
          <m:rPr>
            <m:sty m:val="p"/>
          </m:rPr>
          <m:t>(</m:t>
        </m:r>
        <m:r>
          <m:t>3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</m:oMath>
      <w:r>
        <w:t xml:space="preserve"> </w:t>
      </w:r>
      <w:r>
        <w:t xml:space="preserve">control.</w:t>
      </w:r>
      <w:r>
        <w:t xml:space="preserve"> </w:t>
      </w:r>
      <w:r>
        <w:t xml:space="preserve">(b) Window-length dependence at</w:t>
      </w:r>
      <w:r>
        <w:t xml:space="preserve"> </w:t>
      </w:r>
      <m:oMath>
        <m:r>
          <m:t>χ</m:t>
        </m:r>
        <m:r>
          <m:rPr>
            <m:sty m:val="p"/>
          </m:rPr>
          <m:t>=</m:t>
        </m:r>
        <m:r>
          <m:t>0.69</m:t>
        </m:r>
      </m:oMath>
      <w:r>
        <w:t xml:space="preserve">: shortening the</w:t>
      </w:r>
      <w:r>
        <w:t xml:space="preserve"> </w:t>
      </w:r>
      <w:r>
        <w:t xml:space="preserve">window to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30</m:t>
        </m:r>
        <m:r>
          <m:t>M</m:t>
        </m:r>
      </m:oMath>
      <w:r>
        <w:t xml:space="preserve"> </w:t>
      </w:r>
      <w:r>
        <w:t xml:space="preserve">raises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to about</w:t>
      </w:r>
      <w:r>
        <w:t xml:space="preserve"> </w:t>
      </w:r>
      <m:oMath>
        <m:r>
          <m:t>6.4</m:t>
        </m:r>
      </m:oMath>
      <w:r>
        <w:t xml:space="preserve">;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100</m:t>
        </m:r>
        <m:r>
          <m:t>M</m:t>
        </m:r>
      </m:oMath>
      <w:r>
        <w:t xml:space="preserve"> </w:t>
      </w:r>
      <w:r>
        <w:t xml:space="preserve">differs</w:t>
      </w:r>
      <w:r>
        <w:t xml:space="preserve"> </w:t>
      </w:r>
      <w:r>
        <w:t xml:space="preserve">from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60</m:t>
        </m:r>
        <m:r>
          <m:t>M</m:t>
        </m:r>
      </m:oMath>
      <w:r>
        <w:t xml:space="preserve"> </w:t>
      </w:r>
      <w:r>
        <w:t xml:space="preserve">by under</w:t>
      </w:r>
      <w:r>
        <w:t xml:space="preserve"> </w:t>
      </w:r>
      <m:oMath>
        <m:r>
          <m:t>2</m:t>
        </m:r>
        <m:r>
          <m:rPr>
            <m:sty m:val="p"/>
          </m:rPr>
          <m:t>%</m:t>
        </m:r>
      </m:oMath>
      <w:r>
        <w:t xml:space="preserve">. Curves are medians over the</w:t>
      </w:r>
      <w:r>
        <w:t xml:space="preserve"> </w:t>
      </w:r>
      <w:r>
        <w:t xml:space="preserve">24-phase grid.</w:t>
      </w:r>
    </w:p>
    <w:bookmarkEnd w:id="77"/>
    <w:bookmarkStart w:id="78" w:name="S6.p1"/>
    <w:p>
      <w:pPr>
        <w:pStyle w:val="BodyText"/>
      </w:pPr>
      <w:r>
        <w:t xml:space="preserve">Three invariances are exact, not approximate. First,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</w:t>
      </w:r>
      <w:r>
        <w:t xml:space="preserve"> </w:t>
      </w:r>
      <w:r>
        <w:t xml:space="preserve">independent of the amplitude ratio</w:t>
      </w:r>
      <w:r>
        <w:t xml:space="preserve"> </w:t>
      </w:r>
      <m:oMath>
        <m:r>
          <m:t>R</m:t>
        </m:r>
      </m:oMath>
      <w:r>
        <w:t xml:space="preserve">: rescaling one mode’s</w:t>
      </w:r>
      <w:r>
        <w:t xml:space="preserve"> </w:t>
      </w:r>
      <w:r>
        <w:t xml:space="preserve">amplitude rescales the corresponding rows and columns of both Fisher</w:t>
      </w:r>
      <w:r>
        <w:t xml:space="preserve"> </w:t>
      </w:r>
      <w:r>
        <w:t xml:space="preserve">matrices, leaving every correlation coefficient unchanged, so the</w:t>
      </w:r>
      <w:r>
        <w:t xml:space="preserve"> </w:t>
      </w:r>
      <m:oMath>
        <m:r>
          <m:t>1</m:t>
        </m:r>
        <m:r>
          <m:rPr>
            <m:sty m:val="p"/>
          </m:rPr>
          <m:t>/</m:t>
        </m:r>
        <m:r>
          <m:t>ρ</m:t>
        </m:r>
      </m:oMath>
      <w:r>
        <w:t xml:space="preserve">-scaled</w:t>
      </w:r>
      <w:r>
        <w:t xml:space="preserve"> </w:t>
      </w:r>
      <m:oMath>
        <m:r>
          <m:t>σ</m:t>
        </m:r>
      </m:oMath>
      <w:r>
        <w:t xml:space="preserve">’s shift identically in numerator and</w:t>
      </w:r>
      <w:r>
        <w:t xml:space="preserve"> </w:t>
      </w:r>
      <w:r>
        <w:t xml:space="preserve">denominator of</w:t>
      </w:r>
      <w:r>
        <w:t xml:space="preserve"> </w:t>
      </w:r>
      <w:hyperlink w:anchor="S3.E6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6</w:t>
        </w:r>
      </w:hyperlink>
      <w:r>
        <w:t xml:space="preserve">. The computed maps at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0.3</m:t>
        </m:r>
      </m:oMath>
      <w:r>
        <w:t xml:space="preserve">,</w:t>
      </w:r>
      <w:r>
        <w:t xml:space="preserve"> </w:t>
      </w:r>
      <m:oMath>
        <m:r>
          <m:t>1</m:t>
        </m:r>
      </m:oMath>
      <w:r>
        <w:t xml:space="preserve">,</w:t>
      </w:r>
      <w:r>
        <w:t xml:space="preserve"> </w:t>
      </w:r>
      <w:r>
        <w:t xml:space="preserve">and</w:t>
      </w:r>
      <w:r>
        <w:t xml:space="preserve"> </w:t>
      </w:r>
      <m:oMath>
        <m:r>
          <m:t>3</m:t>
        </m:r>
      </m:oMath>
      <w:r>
        <w:t xml:space="preserve"> </w:t>
      </w:r>
      <w:r>
        <w:t xml:space="preserve">agree to better than ten significant digits everywhere on</w:t>
      </w:r>
      <w:r>
        <w:t xml:space="preserve"> </w:t>
      </w:r>
      <w:r>
        <w:t xml:space="preserve">the grid. Second, the normalized template</w:t>
      </w:r>
      <w:r>
        <w:t xml:space="preserve"> </w:t>
      </w:r>
      <w:r>
        <w:t xml:space="preserve">overlap</w:t>
      </w:r>
      <w:r>
        <w:t xml:space="preserve"> </w:t>
      </w:r>
      <m:oMath>
        <m:r>
          <m:t>μ</m:t>
        </m:r>
      </m:oMath>
      <w:r>
        <w:t xml:space="preserve">, and hence</w:t>
      </w:r>
      <w:r>
        <w:t xml:space="preserve"> </w:t>
      </w:r>
      <m:oMath>
        <m:r>
          <m:t>κ</m:t>
        </m:r>
      </m:oMath>
      <w:r>
        <w:t xml:space="preserve">, is exactly invariant under window</w:t>
      </w:r>
      <w:r>
        <w:t xml:space="preserve"> </w:t>
      </w:r>
      <w:r>
        <w:t xml:space="preserve">translation: shifting</w:t>
      </w:r>
      <w:r>
        <w:t xml:space="preserve"> </w:t>
      </w:r>
      <m:oMath>
        <m:sSub>
          <m:e>
            <m:r>
              <m:t>t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multiplies each template by a constant</w:t>
      </w:r>
      <w:r>
        <w:t xml:space="preserve"> </w:t>
      </w:r>
      <w:r>
        <w:t xml:space="preserve">factor that cancels in the normalization. This is why</w:t>
      </w:r>
      <w:r>
        <w:t xml:space="preserve"> </w:t>
      </w:r>
      <w:hyperlink w:anchor="S5.T1">
        <w:r>
          <w:rPr>
            <w:rStyle w:val="Hyperlink"/>
          </w:rPr>
          <w:t xml:space="preserve">Table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I</w:t>
        </w:r>
      </w:hyperlink>
      <w:r>
        <w:t xml:space="preserve"> </w:t>
      </w:r>
      <w:r>
        <w:t xml:space="preserve">shows the same</w:t>
      </w:r>
      <w:r>
        <w:t xml:space="preserve"> </w:t>
      </w:r>
      <m:oMath>
        <m:r>
          <m:t>κ</m:t>
        </m:r>
      </m:oMath>
      <w:r>
        <w:t xml:space="preserve"> </w:t>
      </w:r>
      <w:r>
        <w:t xml:space="preserve">at every</w:t>
      </w:r>
      <w:r>
        <w:t xml:space="preserve"> </w:t>
      </w:r>
      <m:oMath>
        <m:sSub>
          <m:e>
            <m:r>
              <m:t>t</m:t>
            </m:r>
          </m:e>
          <m:sub>
            <m:r>
              <m:t>0</m:t>
            </m:r>
          </m:sub>
        </m:sSub>
      </m:oMath>
      <w:r>
        <w:t xml:space="preserve">, and why the</w:t>
      </w:r>
      <w:r>
        <w:t xml:space="preserve"> </w:t>
      </w:r>
      <w:r>
        <w:t xml:space="preserve">phase-median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nearly flat in</w:t>
      </w:r>
      <w:r>
        <w:t xml:space="preserve"> </w:t>
      </w:r>
      <m:oMath>
        <m:sSub>
          <m:e>
            <m:r>
              <m:t>t</m:t>
            </m:r>
          </m:e>
          <m:sub>
            <m:r>
              <m:t>0</m:t>
            </m:r>
          </m:sub>
        </m:sSub>
      </m:oMath>
      <w:r>
        <w:t xml:space="preserve">: its variation over the</w:t>
      </w:r>
      <w:r>
        <w:t xml:space="preserve"> </w:t>
      </w:r>
      <w:r>
        <w:t xml:space="preserve">full window-start range is below</w:t>
      </w:r>
      <w:r>
        <w:t xml:space="preserve"> </w:t>
      </w:r>
      <m:oMath>
        <m:r>
          <m:rPr>
            <m:sty m:val="p"/>
          </m:rPr>
          <m:t>±</m:t>
        </m:r>
        <m:r>
          <m:t>1</m:t>
        </m:r>
        <m:r>
          <m:rPr>
            <m:sty m:val="p"/>
          </m:rPr>
          <m:t>%</m:t>
        </m:r>
      </m:oMath>
      <w:r>
        <w:t xml:space="preserve"> </w:t>
      </w:r>
      <w:r>
        <w:t xml:space="preserve">at every spin. Third,</w:t>
      </w:r>
      <w:r>
        <w:t xml:space="preserve"> </w:t>
      </w:r>
      <w:r>
        <w:t xml:space="preserve">with the white-noise</w:t>
      </w:r>
      <w:r>
        <w:t xml:space="preserve"> </w:t>
      </w:r>
      <w:r>
        <w:t xml:space="preserve">product and windows scaled by</w:t>
      </w:r>
      <w:r>
        <w:t xml:space="preserve"> </w:t>
      </w:r>
      <m:oMath>
        <m:r>
          <m:t>M</m:t>
        </m:r>
      </m:oMath>
      <w:r>
        <w:t xml:space="preserve">, the entire analysis is</w:t>
      </w:r>
      <w:r>
        <w:t xml:space="preserve"> </w:t>
      </w:r>
      <w:r>
        <w:t xml:space="preserve">dimensionless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carries no mass dependence at all.</w:t>
      </w:r>
    </w:p>
    <w:bookmarkEnd w:id="78"/>
    <w:bookmarkStart w:id="79" w:name="S6.p2"/>
    <w:p>
      <w:pPr>
        <w:pStyle w:val="BodyText"/>
      </w:pPr>
      <w:r>
        <w:t xml:space="preserve">The relative phase is the one handle whose effect is not small</w:t>
      </w:r>
      <w:r>
        <w:t xml:space="preserve"> </w:t>
      </w:r>
      <w:r>
        <w:t xml:space="preserve">pointwise, and it deserves stating as a limitation:</w:t>
      </w:r>
      <w:r>
        <w:t xml:space="preserve"> </w:t>
      </w:r>
      <w:r>
        <w:t xml:space="preserve">individual-phase values of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spread by about</w:t>
      </w:r>
      <w:r>
        <w:t xml:space="preserve"> </w:t>
      </w:r>
      <m:oMath>
        <m:r>
          <m:t>22</m:t>
        </m:r>
        <m:r>
          <m:rPr>
            <m:sty m:val="p"/>
          </m:rPr>
          <m:t>%</m:t>
        </m:r>
      </m:oMath>
      <w:r>
        <w:t xml:space="preserve"> </w:t>
      </w:r>
      <w:r>
        <w:t xml:space="preserve">at the</w:t>
      </w:r>
      <w:r>
        <w:t xml:space="preserve"> </w:t>
      </w:r>
      <w:r>
        <w:t xml:space="preserve">tabulated point and by up to</w:t>
      </w:r>
      <w:r>
        <w:t xml:space="preserve"> </w:t>
      </w:r>
      <m:oMath>
        <m:r>
          <m:t>46</m:t>
        </m:r>
        <m:r>
          <m:rPr>
            <m:sty m:val="p"/>
          </m:rPr>
          <m:t>%</m:t>
        </m:r>
      </m:oMath>
      <w:r>
        <w:t xml:space="preserve"> </w:t>
      </w:r>
      <w:r>
        <w:t xml:space="preserve">at low spin about the reported</w:t>
      </w:r>
      <w:r>
        <w:t xml:space="preserve"> </w:t>
      </w:r>
      <w:r>
        <w:t xml:space="preserve">medians. What is robust is the median itself: at the tabulated</w:t>
      </w:r>
      <w:r>
        <w:t xml:space="preserve"> </w:t>
      </w:r>
      <w:r>
        <w:t xml:space="preserve">point the superseded four-sample grid (results v1) and the current</w:t>
      </w:r>
      <w:r>
        <w:t xml:space="preserve"> </w:t>
      </w:r>
      <w:r>
        <w:t xml:space="preserve">24-phase grid agree to five digits. Every threshold quoted here</w:t>
      </w:r>
      <w:r>
        <w:t xml:space="preserve"> </w:t>
      </w:r>
      <w:r>
        <w:t xml:space="preserve">should therefore be read as a phase-median carrying a</w:t>
      </w:r>
      <w:r>
        <w:t xml:space="preserve"> </w:t>
      </w:r>
      <w:r>
        <w:t xml:space="preserve">tens-of-percent phase spread, a property of the damped-sinusoid</w:t>
      </w:r>
      <w:r>
        <w:t xml:space="preserve"> </w:t>
      </w:r>
      <w:r>
        <w:t xml:space="preserve">criterion itself rather than of this implementation. The window length behaves smoothly</w:t>
      </w:r>
      <w:r>
        <w:t xml:space="preserve"> </w:t>
      </w:r>
      <w:r>
        <w:t xml:space="preserve">(</w:t>
      </w:r>
      <w:hyperlink w:anchor="S6.F2">
        <w:r>
          <w:rPr>
            <w:rStyle w:val="Hyperlink"/>
          </w:rPr>
          <w:t xml:space="preserve">Fig.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2</w:t>
        </w:r>
      </w:hyperlink>
      <w:r>
        <w:t xml:space="preserve">): shortening to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30</m:t>
        </m:r>
        <m:r>
          <m:t>M</m:t>
        </m:r>
      </m:oMath>
      <w:r>
        <w:t xml:space="preserve">, which curtails the</w:t>
      </w:r>
      <w:r>
        <w:t xml:space="preserve"> </w:t>
      </w:r>
      <w:r>
        <w:t xml:space="preserve">evolution that separates the</w:t>
      </w:r>
      <w:r>
        <w:t xml:space="preserve"> </w:t>
      </w:r>
      <w:r>
        <w:t xml:space="preserve">two damping times, raises the penalty to</w:t>
      </w:r>
      <w:r>
        <w:t xml:space="preserve"> </w:t>
      </w:r>
      <m:oMath>
        <m:r>
          <m:t>D</m:t>
        </m:r>
        <m:r>
          <m:rPr>
            <m:sty m:val="p"/>
          </m:rPr>
          <m:t>≈</m:t>
        </m:r>
        <m:r>
          <m:t>6.4</m:t>
        </m:r>
      </m:oMath>
      <w:r>
        <w:t xml:space="preserve">, while</w:t>
      </w:r>
      <w:r>
        <w:t xml:space="preserve"> </w:t>
      </w:r>
      <w:r>
        <w:t xml:space="preserve">lengthening to</w:t>
      </w:r>
      <w:r>
        <w:t xml:space="preserve"> </w:t>
      </w:r>
      <m:oMath>
        <m:r>
          <m:t>T</m:t>
        </m:r>
        <m:r>
          <m:rPr>
            <m:sty m:val="p"/>
          </m:rPr>
          <m:t>=</m:t>
        </m:r>
        <m:r>
          <m:t>100</m:t>
        </m:r>
        <m:r>
          <m:t>M</m:t>
        </m:r>
      </m:oMath>
      <w:r>
        <w:t xml:space="preserve"> </w:t>
      </w:r>
      <w:r>
        <w:t xml:space="preserve">shifts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by under</w:t>
      </w:r>
      <w:r>
        <w:t xml:space="preserve"> </w:t>
      </w:r>
      <m:oMath>
        <m:r>
          <m:t>2</m:t>
        </m:r>
        <m:r>
          <m:rPr>
            <m:sty m:val="p"/>
          </m:rPr>
          <m:t>%</m:t>
        </m:r>
      </m:oMath>
      <w:r>
        <w:t xml:space="preserve">. The one</w:t>
      </w:r>
      <w:r>
        <w:t xml:space="preserve"> </w:t>
      </w:r>
      <w:r>
        <w:t xml:space="preserve">weighting not yet swept is a detector-shaped power spectral density,</w:t>
      </w:r>
      <w:r>
        <w:t xml:space="preserve"> </w:t>
      </w:r>
      <w:r>
        <w:t xml:space="preserve">which breaks the mass invariance by introducing a physical frequency</w:t>
      </w:r>
      <w:r>
        <w:t xml:space="preserve"> </w:t>
      </w:r>
      <w:r>
        <w:t xml:space="preserve">scale; whether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itself moves qualitatively under a detector-shaped</w:t>
      </w:r>
      <w:r>
        <w:t xml:space="preserve"> </w:t>
      </w:r>
      <w:r>
        <w:t xml:space="preserve">weighting is not answered here. That arm, and the anchor-exact</w:t>
      </w:r>
      <w:r>
        <w:t xml:space="preserve"> </w:t>
      </w:r>
      <w:r>
        <w:t xml:space="preserve">horizon reproduction, are the declared next steps.</w:t>
      </w:r>
    </w:p>
    <w:bookmarkEnd w:id="79"/>
    <w:bookmarkEnd w:id="80"/>
    <w:bookmarkStart w:id="89" w:name="S7"/>
    <w:p>
      <w:pPr>
        <w:pStyle w:val="Heading2"/>
      </w:pPr>
      <w:bookmarkStart w:id="81" w:name="vii-conclusions"/>
      <w:r>
        <w:t xml:space="preserve">VII</w:t>
      </w:r>
      <w:r>
        <w:t xml:space="preserve"> </w:t>
      </w:r>
      <w:r>
        <w:t xml:space="preserve">Conclusions</w:t>
      </w:r>
      <w:bookmarkEnd w:id="81"/>
    </w:p>
    <w:bookmarkStart w:id="88" w:name="S7.p1"/>
    <w:p>
      <w:pPr>
        <w:pStyle w:val="Compact"/>
        <w:numPr>
          <w:ilvl w:val="0"/>
          <w:numId w:val="1003"/>
        </w:numPr>
      </w:pPr>
      <w:bookmarkStart w:id="82" w:name="S7.I1.i1"/>
      <w:r>
        <w:t xml:space="preserve">1.</w:t>
      </w:r>
      <w:bookmarkEnd w:id="82"/>
    </w:p>
    <w:bookmarkStart w:id="83" w:name="S7.I1.i1.p1"/>
    <w:p>
      <w:pPr>
        <w:numPr>
          <w:ilvl w:val="0"/>
          <w:numId w:val="1000"/>
        </w:numPr>
      </w:pPr>
      <w:r>
        <w:t xml:space="preserve">For the contested</w:t>
      </w:r>
      <w:r>
        <w:t xml:space="preserve"> </w:t>
      </w:r>
      <m:oMath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0</m:t>
        </m:r>
        <m:r>
          <m:rPr>
            <m:sty m:val="p"/>
          </m:rPr>
          <m:t>)</m:t>
        </m:r>
        <m:r>
          <m:rPr>
            <m:nor/>
            <m:sty m:val="p"/>
          </m:rPr>
          <m:t>–</m:t>
        </m:r>
        <m:r>
          <m:rPr>
            <m:sty m:val="p"/>
          </m:rPr>
          <m:t>(</m:t>
        </m:r>
        <m:r>
          <m:t>2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1</m:t>
        </m:r>
        <m:r>
          <m:rPr>
            <m:sty m:val="p"/>
          </m:rPr>
          <m:t>)</m:t>
        </m:r>
      </m:oMath>
      <w:r>
        <w:t xml:space="preserve"> </w:t>
      </w:r>
      <w:r>
        <w:t xml:space="preserve">pair, ignoring the mode</w:t>
      </w:r>
      <w:r>
        <w:t xml:space="preserve"> </w:t>
      </w:r>
      <w:r>
        <w:t xml:space="preserve">correlations in the Rayleigh resolvability</w:t>
      </w:r>
      <w:r>
        <w:t xml:space="preserve"> </w:t>
      </w:r>
      <w:r>
        <w:t xml:space="preserve">criterion understates the required SNR by a factor of 4.25 to</w:t>
      </w:r>
      <w:r>
        <w:t xml:space="preserve"> </w:t>
      </w:r>
      <w:r>
        <w:t xml:space="preserve">8.1 (median over relative phase) across the entire</w:t>
      </w:r>
      <w:r>
        <w:t xml:space="preserve"> </w:t>
      </w:r>
      <w:r>
        <w:t xml:space="preserve">astrophysical spin range and all</w:t>
      </w:r>
      <w:r>
        <w:t xml:space="preserve"> </w:t>
      </w:r>
      <w:r>
        <w:t xml:space="preserve">analysis windows studied; at the GW150914-like point the</w:t>
      </w:r>
      <w:r>
        <w:t xml:space="preserve"> </w:t>
      </w:r>
      <w:r>
        <w:t xml:space="preserve">thresholds are 71 versus 310. A well-separated control pair</w:t>
      </w:r>
      <w:r>
        <w:t xml:space="preserve"> </w:t>
      </w:r>
      <w:r>
        <w:t xml:space="preserve">stays near or below a factor of 2.</w:t>
      </w:r>
    </w:p>
    <w:bookmarkEnd w:id="83"/>
    <w:p>
      <w:pPr>
        <w:pStyle w:val="Compact"/>
        <w:numPr>
          <w:ilvl w:val="0"/>
          <w:numId w:val="1003"/>
        </w:numPr>
      </w:pPr>
      <w:bookmarkStart w:id="84" w:name="S7.I1.i2"/>
      <w:r>
        <w:t xml:space="preserve">2.</w:t>
      </w:r>
      <w:bookmarkEnd w:id="84"/>
    </w:p>
    <w:bookmarkStart w:id="85" w:name="S7.I1.i2.p1"/>
    <w:p>
      <w:pPr>
        <w:numPr>
          <w:ilvl w:val="0"/>
          <w:numId w:val="1000"/>
        </w:numPr>
      </w:pPr>
      <w:r>
        <w:t xml:space="preserve">The penalty is structural, not tuned: it is exactly</w:t>
      </w:r>
      <w:r>
        <w:t xml:space="preserve"> </w:t>
      </w:r>
      <w:r>
        <w:t xml:space="preserve">independent of the mode amplitude ratio, exactly</w:t>
      </w:r>
      <w:r>
        <w:t xml:space="preserve"> </w:t>
      </w:r>
      <w:r>
        <w:t xml:space="preserve">translation-invariant in its Gram diagnostic, and</w:t>
      </w:r>
      <w:r>
        <w:t xml:space="preserve"> </w:t>
      </w:r>
      <w:r>
        <w:t xml:space="preserve">mass-invariant under white noise. Its scale is set by the</w:t>
      </w:r>
      <w:r>
        <w:t xml:space="preserve"> </w:t>
      </w:r>
      <w:r>
        <w:t xml:space="preserve">template overlap,</w:t>
      </w:r>
      <w:r>
        <w:t xml:space="preserve"> </w:t>
      </w:r>
      <m:oMath>
        <m:r>
          <m:t>μ</m:t>
        </m:r>
        <m:r>
          <m:rPr>
            <m:sty m:val="p"/>
          </m:rPr>
          <m:t>≈</m:t>
        </m:r>
        <m:r>
          <m:t>0.86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0.88</m:t>
        </m:r>
      </m:oMath>
      <w:r>
        <w:t xml:space="preserve">, which the</w:t>
      </w:r>
      <w:r>
        <w:t xml:space="preserve"> </w:t>
      </w:r>
      <w:r>
        <w:t xml:space="preserve">closed form of</w:t>
      </w:r>
      <w:r>
        <w:t xml:space="preserve"> </w:t>
      </w:r>
      <w:hyperlink w:anchor="S3.E8">
        <w:r>
          <w:rPr>
            <w:rStyle w:val="Hyperlink"/>
          </w:rPr>
          <w:t xml:space="preserve">Eq.</w:t>
        </w:r>
        <w:r>
          <w:rPr>
            <w:rStyle w:val="Hyperlink"/>
          </w:rPr>
          <w:t xml:space="preserve"> </w:t>
        </w:r>
        <w:r>
          <w:rPr>
            <w:rStyle w:val="Hyperlink"/>
          </w:rPr>
          <w:t xml:space="preserve">8</w:t>
        </w:r>
      </w:hyperlink>
      <w:r>
        <w:t xml:space="preserve"> </w:t>
      </w:r>
      <w:r>
        <w:t xml:space="preserve">ties to the damping-time</w:t>
      </w:r>
      <w:r>
        <w:t xml:space="preserve"> </w:t>
      </w:r>
      <w:r>
        <w:t xml:space="preserve">ratio almost alone (the frequency splitting the criterion</w:t>
      </w:r>
      <w:r>
        <w:t xml:space="preserve"> </w:t>
      </w:r>
      <w:r>
        <w:t xml:space="preserve">is named for contributes under one part in a thousand of</w:t>
      </w:r>
      <w:r>
        <w:t xml:space="preserve"> </w:t>
      </w:r>
      <w:r>
        <w:t xml:space="preserve">the overlap), with cross-parameter degeneracies roughly</w:t>
      </w:r>
      <w:r>
        <w:t xml:space="preserve"> </w:t>
      </w:r>
      <w:r>
        <w:t xml:space="preserve">doubling the analytic amplitude-only penalty of</w:t>
      </w:r>
      <w:r>
        <w:t xml:space="preserve"> </w:t>
      </w:r>
      <m:oMath>
        <m:sSup>
          <m:e>
            <m:r>
              <m:rPr>
                <m:sty m:val="p"/>
              </m:rPr>
              <m:t>(</m:t>
            </m:r>
            <m:r>
              <m:t>1</m:t>
            </m:r>
            <m:r>
              <m:rPr>
                <m:sty m:val="p"/>
              </m:rPr>
              <m:t>−</m:t>
            </m:r>
            <m:sSup>
              <m:e>
                <m:r>
                  <m:t>μ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)</m:t>
            </m:r>
          </m:e>
          <m:sup>
            <m:r>
              <m:rPr>
                <m:sty m:val="p"/>
              </m:rPr>
              <m:t>−</m:t>
            </m:r>
            <m:r>
              <m:t>1</m:t>
            </m:r>
            <m:r>
              <m:rPr>
                <m:sty m:val="p"/>
              </m:rPr>
              <m:t>/</m:t>
            </m:r>
            <m:r>
              <m:t>2</m:t>
            </m:r>
          </m:sup>
        </m:sSup>
        <m:r>
          <m:rPr>
            <m:sty m:val="p"/>
          </m:rPr>
          <m:t>≈</m:t>
        </m:r>
        <m:r>
          <m:t>2</m:t>
        </m:r>
      </m:oMath>
      <w:r>
        <w:t xml:space="preserve">. The medians are stable under</w:t>
      </w:r>
      <w:r>
        <w:t xml:space="preserve"> </w:t>
      </w:r>
      <w:r>
        <w:t xml:space="preserve">phase-grid refinement, but individual-phase thresholds</w:t>
      </w:r>
      <w:r>
        <w:t xml:space="preserve"> </w:t>
      </w:r>
      <w:r>
        <w:t xml:space="preserve">spread by tens of percent about them, and the white-noise</w:t>
      </w:r>
      <w:r>
        <w:t xml:space="preserve"> </w:t>
      </w:r>
      <w:r>
        <w:t xml:space="preserve">inner product remains the analysis’s main untested</w:t>
      </w:r>
      <w:r>
        <w:t xml:space="preserve"> </w:t>
      </w:r>
      <w:r>
        <w:t xml:space="preserve">assumption.</w:t>
      </w:r>
    </w:p>
    <w:bookmarkEnd w:id="85"/>
    <w:p>
      <w:pPr>
        <w:pStyle w:val="Compact"/>
        <w:numPr>
          <w:ilvl w:val="0"/>
          <w:numId w:val="1003"/>
        </w:numPr>
      </w:pPr>
      <w:bookmarkStart w:id="86" w:name="S7.I1.i3"/>
      <w:r>
        <w:t xml:space="preserve">3.</w:t>
      </w:r>
      <w:bookmarkEnd w:id="86"/>
    </w:p>
    <w:bookmarkStart w:id="87" w:name="S7.I1.i3.p1"/>
    <w:p>
      <w:pPr>
        <w:numPr>
          <w:ilvl w:val="0"/>
          <w:numId w:val="1000"/>
        </w:numPr>
      </w:pPr>
      <w:r>
        <w:t xml:space="preserve">Practical recommendation: resolvability forecasts for</w:t>
      </w:r>
      <w:r>
        <w:t xml:space="preserve"> </w:t>
      </w:r>
      <w:r>
        <w:t xml:space="preserve">overtone spectroscopy must draw their uncertainties from the</w:t>
      </w:r>
      <w:r>
        <w:t xml:space="preserve"> </w:t>
      </w:r>
      <w:r>
        <w:t xml:space="preserve">joint Fisher matrix, as the anchor forecasts</w:t>
      </w:r>
      <w:r>
        <w:t xml:space="preserve"> </w:t>
      </w:r>
      <w:r>
        <w:t xml:space="preserve">[</w:t>
      </w:r>
      <w:hyperlink w:anchor="bib.bib1">
        <w:r>
          <w:rPr>
            <w:rStyle w:val="Hyperlink"/>
          </w:rPr>
          <w:t xml:space="preserve">1</w:t>
        </w:r>
      </w:hyperlink>
      <w:r>
        <w:t xml:space="preserve">,</w:t>
      </w:r>
      <w:r>
        <w:t xml:space="preserve"> </w:t>
      </w:r>
      <w:hyperlink w:anchor="bib.bib4">
        <w:r>
          <w:rPr>
            <w:rStyle w:val="Hyperlink"/>
          </w:rPr>
          <w:t xml:space="preserve">4</w:t>
        </w:r>
      </w:hyperlink>
      <w:r>
        <w:t xml:space="preserve">,</w:t>
      </w:r>
      <w:r>
        <w:t xml:space="preserve"> </w:t>
      </w:r>
      <w:hyperlink w:anchor="bib.bib5">
        <w:r>
          <w:rPr>
            <w:rStyle w:val="Hyperlink"/>
          </w:rPr>
          <w:t xml:space="preserve">5</w:t>
        </w:r>
      </w:hyperlink>
      <w:r>
        <w:t xml:space="preserve">] do;</w:t>
      </w:r>
      <w:r>
        <w:t xml:space="preserve"> </w:t>
      </w:r>
      <w:r>
        <w:t xml:space="preserve">assembling the same criterion from single-mode error</w:t>
      </w:r>
      <w:r>
        <w:t xml:space="preserve"> </w:t>
      </w:r>
      <w:r>
        <w:t xml:space="preserve">formulas is unsafe</w:t>
      </w:r>
      <w:r>
        <w:t xml:space="preserve"> </w:t>
      </w:r>
      <w:r>
        <w:t xml:space="preserve">for this pair by half an order of magnitude. The pipeline</w:t>
      </w:r>
      <w:r>
        <w:t xml:space="preserve"> </w:t>
      </w:r>
      <w:r>
        <w:t xml:space="preserve">evaluates the correction in milliseconds per grid</w:t>
      </w:r>
      <w:r>
        <w:t xml:space="preserve"> </w:t>
      </w:r>
      <w:r>
        <w:t xml:space="preserve">point; detector-PSD weighting and anchor-exact threshold</w:t>
      </w:r>
      <w:r>
        <w:t xml:space="preserve"> </w:t>
      </w:r>
      <w:r>
        <w:t xml:space="preserve">reproduction are its next milestones.</w:t>
      </w:r>
    </w:p>
    <w:bookmarkEnd w:id="87"/>
    <w:bookmarkEnd w:id="88"/>
    <w:bookmarkEnd w:id="89"/>
    <w:bookmarkStart w:id="101" w:name="bib"/>
    <w:p>
      <w:pPr>
        <w:pStyle w:val="Heading2"/>
      </w:pPr>
      <w:bookmarkStart w:id="90" w:name="references"/>
      <w:r>
        <w:t xml:space="preserve">References</w:t>
      </w:r>
      <w:bookmarkEnd w:id="90"/>
    </w:p>
    <w:p>
      <w:pPr>
        <w:pStyle w:val="Compact"/>
        <w:numPr>
          <w:ilvl w:val="0"/>
          <w:numId w:val="1004"/>
        </w:numPr>
      </w:pPr>
      <w:bookmarkStart w:id="91" w:name="bib.bib1"/>
      <w:r>
        <w:t xml:space="preserve">[1]</w:t>
      </w:r>
      <w:r>
        <w:t xml:space="preserve"> </w:t>
      </w:r>
      <w:r>
        <w:t xml:space="preserve"> </w:t>
      </w:r>
      <w:r>
        <w:t xml:space="preserve">E. Berti, V. Cardoso, and C. M. Will, “On gravitational-wave</w:t>
      </w:r>
      <w:r>
        <w:t xml:space="preserve"> </w:t>
      </w:r>
      <w:r>
        <w:t xml:space="preserve">spectroscopy of massive black holes with the space interferometer</w:t>
      </w:r>
      <w:r>
        <w:t xml:space="preserve"> </w:t>
      </w:r>
      <w:r>
        <w:t xml:space="preserve">LISA,”</w:t>
      </w:r>
      <w:r>
        <w:t xml:space="preserve"> </w:t>
      </w:r>
      <w:r>
        <w:rPr>
          <w:i/>
          <w:iCs/>
        </w:rPr>
        <w:t xml:space="preserve">Phys. Rev. D</w:t>
      </w:r>
      <w:r>
        <w:t xml:space="preserve">, vol. 73, art. no. 064030, 2006,</w:t>
      </w:r>
      <w:r>
        <w:t xml:space="preserve"> </w:t>
      </w:r>
      <w:r>
        <w:t xml:space="preserve">doi:10.1103/PhysRevD.73.064030. arXiv:gr-qc/0512160.</w:t>
      </w:r>
      <w:r>
        <w:t xml:space="preserve"> </w:t>
      </w:r>
      <w:bookmarkEnd w:id="91"/>
    </w:p>
    <w:p>
      <w:pPr>
        <w:pStyle w:val="Compact"/>
        <w:numPr>
          <w:ilvl w:val="0"/>
          <w:numId w:val="1004"/>
        </w:numPr>
      </w:pPr>
      <w:bookmarkStart w:id="92" w:name="bib.bib2"/>
      <w:r>
        <w:t xml:space="preserve">[2]</w:t>
      </w:r>
      <w:r>
        <w:t xml:space="preserve"> </w:t>
      </w:r>
      <w:r>
        <w:t xml:space="preserve"> </w:t>
      </w:r>
      <w:r>
        <w:t xml:space="preserve">M. Isi, M. Giesler, W. M. Farr, M. A. Scheel, and S. A. Teukolsky,</w:t>
      </w:r>
      <w:r>
        <w:t xml:space="preserve"> </w:t>
      </w:r>
      <w:r>
        <w:t xml:space="preserve">“Testing the no-hair theorem with GW150914,”</w:t>
      </w:r>
      <w:r>
        <w:t xml:space="preserve"> </w:t>
      </w:r>
      <w:r>
        <w:rPr>
          <w:i/>
          <w:iCs/>
        </w:rPr>
        <w:t xml:space="preserve">Phys. Rev.</w:t>
      </w:r>
      <w:r>
        <w:rPr>
          <w:i/>
          <w:iCs/>
        </w:rPr>
        <w:t xml:space="preserve"> </w:t>
      </w:r>
      <w:r>
        <w:rPr>
          <w:i/>
          <w:iCs/>
        </w:rPr>
        <w:t xml:space="preserve">Lett.</w:t>
      </w:r>
      <w:r>
        <w:t xml:space="preserve">, vol. 123, art. no. 111102, 2019,</w:t>
      </w:r>
      <w:r>
        <w:t xml:space="preserve"> </w:t>
      </w:r>
      <w:r>
        <w:t xml:space="preserve">doi:10.1103/PhysRevLett.123.111102. arXiv:1905.00869.</w:t>
      </w:r>
      <w:r>
        <w:t xml:space="preserve"> </w:t>
      </w:r>
      <w:bookmarkEnd w:id="92"/>
    </w:p>
    <w:p>
      <w:pPr>
        <w:pStyle w:val="Compact"/>
        <w:numPr>
          <w:ilvl w:val="0"/>
          <w:numId w:val="1004"/>
        </w:numPr>
      </w:pPr>
      <w:bookmarkStart w:id="93" w:name="bib.bib3"/>
      <w:r>
        <w:t xml:space="preserve">[3]</w:t>
      </w:r>
      <w:r>
        <w:t xml:space="preserve"> </w:t>
      </w:r>
      <w:r>
        <w:t xml:space="preserve"> </w:t>
      </w:r>
      <w:r>
        <w:t xml:space="preserve">R. Cotesta, G. Carullo, E. Berti, and V. Cardoso, “Analysis of</w:t>
      </w:r>
      <w:r>
        <w:t xml:space="preserve"> </w:t>
      </w:r>
      <w:r>
        <w:t xml:space="preserve">ringdown overtones in GW150914,”</w:t>
      </w:r>
      <w:r>
        <w:t xml:space="preserve"> </w:t>
      </w:r>
      <w:r>
        <w:rPr>
          <w:i/>
          <w:iCs/>
        </w:rPr>
        <w:t xml:space="preserve">Phys. Rev. Lett.</w:t>
      </w:r>
      <w:r>
        <w:t xml:space="preserve">, vol. 129,</w:t>
      </w:r>
      <w:r>
        <w:t xml:space="preserve"> </w:t>
      </w:r>
      <w:r>
        <w:t xml:space="preserve">art. no. 111102, 2022, doi:10.1103/PhysRevLett.129.111102.</w:t>
      </w:r>
      <w:r>
        <w:t xml:space="preserve"> </w:t>
      </w:r>
      <w:r>
        <w:t xml:space="preserve">arXiv:2201.00822.</w:t>
      </w:r>
      <w:r>
        <w:t xml:space="preserve"> </w:t>
      </w:r>
      <w:bookmarkEnd w:id="93"/>
    </w:p>
    <w:p>
      <w:pPr>
        <w:pStyle w:val="Compact"/>
        <w:numPr>
          <w:ilvl w:val="0"/>
          <w:numId w:val="1004"/>
        </w:numPr>
      </w:pPr>
      <w:bookmarkStart w:id="94" w:name="bib.bib4"/>
      <w:r>
        <w:t xml:space="preserve">[4]</w:t>
      </w:r>
      <w:r>
        <w:t xml:space="preserve"> </w:t>
      </w:r>
      <w:r>
        <w:t xml:space="preserve"> </w:t>
      </w:r>
      <w:r>
        <w:t xml:space="preserve">I. Ota and C. Chirenti, “Black hole spectroscopy horizons for current</w:t>
      </w:r>
      <w:r>
        <w:t xml:space="preserve"> </w:t>
      </w:r>
      <w:r>
        <w:t xml:space="preserve">and future gravitational wave detectors,”</w:t>
      </w:r>
      <w:r>
        <w:t xml:space="preserve"> </w:t>
      </w:r>
      <w:r>
        <w:rPr>
          <w:i/>
          <w:iCs/>
        </w:rPr>
        <w:t xml:space="preserve">Phys. Rev. D</w:t>
      </w:r>
      <w:r>
        <w:t xml:space="preserve">,</w:t>
      </w:r>
      <w:r>
        <w:t xml:space="preserve"> </w:t>
      </w:r>
      <w:r>
        <w:t xml:space="preserve">vol. 105, art. no. 044015, 2022,</w:t>
      </w:r>
      <w:r>
        <w:t xml:space="preserve"> </w:t>
      </w:r>
      <w:r>
        <w:t xml:space="preserve">doi:10.1103/PhysRevD.105.044015. arXiv:2108.01774.</w:t>
      </w:r>
      <w:r>
        <w:t xml:space="preserve"> </w:t>
      </w:r>
      <w:bookmarkEnd w:id="94"/>
    </w:p>
    <w:p>
      <w:pPr>
        <w:pStyle w:val="Compact"/>
        <w:numPr>
          <w:ilvl w:val="0"/>
          <w:numId w:val="1004"/>
        </w:numPr>
      </w:pPr>
      <w:bookmarkStart w:id="95" w:name="bib.bib5"/>
      <w:r>
        <w:t xml:space="preserve">[5]</w:t>
      </w:r>
      <w:r>
        <w:t xml:space="preserve"> </w:t>
      </w:r>
      <w:r>
        <w:t xml:space="preserve"> </w:t>
      </w:r>
      <w:r>
        <w:t xml:space="preserve">C. Shi, Q. Zhang, and J. Mei, “On the detectability and resolvability</w:t>
      </w:r>
      <w:r>
        <w:t xml:space="preserve"> </w:t>
      </w:r>
      <w:r>
        <w:t xml:space="preserve">of quasi-normal modes with space-based gravitational wave detectors,”</w:t>
      </w:r>
      <w:r>
        <w:t xml:space="preserve"> </w:t>
      </w:r>
      <w:r>
        <w:t xml:space="preserve">arXiv:2407.13110 [gr-qc], Jul. 2024.</w:t>
      </w:r>
      <w:r>
        <w:t xml:space="preserve"> </w:t>
      </w:r>
      <w:bookmarkEnd w:id="95"/>
    </w:p>
    <w:p>
      <w:pPr>
        <w:pStyle w:val="Compact"/>
        <w:numPr>
          <w:ilvl w:val="0"/>
          <w:numId w:val="1004"/>
        </w:numPr>
      </w:pPr>
      <w:bookmarkStart w:id="96" w:name="bib.bib6"/>
      <w:r>
        <w:t xml:space="preserve">[6]</w:t>
      </w:r>
      <w:r>
        <w:t xml:space="preserve"> </w:t>
      </w:r>
      <w:r>
        <w:t xml:space="preserve"> </w:t>
      </w:r>
      <w:r>
        <w:t xml:space="preserve">E. Berti</w:t>
      </w:r>
      <w:r>
        <w:t xml:space="preserve"> </w:t>
      </w:r>
      <w:r>
        <w:rPr>
          <w:i/>
          <w:iCs/>
        </w:rPr>
        <w:t xml:space="preserve">et al.</w:t>
      </w:r>
      <w:r>
        <w:t xml:space="preserve">, “Black hole spectroscopy: from theory to</w:t>
      </w:r>
      <w:r>
        <w:t xml:space="preserve"> </w:t>
      </w:r>
      <w:r>
        <w:t xml:space="preserve">experiment,” arXiv:2505.23895 [gr-qc], May 2025, submitted for</w:t>
      </w:r>
      <w:r>
        <w:t xml:space="preserve"> </w:t>
      </w:r>
      <w:r>
        <w:t xml:space="preserve">publication.</w:t>
      </w:r>
      <w:r>
        <w:t xml:space="preserve"> </w:t>
      </w:r>
      <w:bookmarkEnd w:id="96"/>
    </w:p>
    <w:p>
      <w:pPr>
        <w:pStyle w:val="Compact"/>
        <w:numPr>
          <w:ilvl w:val="0"/>
          <w:numId w:val="1004"/>
        </w:numPr>
      </w:pPr>
      <w:bookmarkStart w:id="97" w:name="bib.bib7"/>
      <w:r>
        <w:t xml:space="preserve">[7]</w:t>
      </w:r>
      <w:r>
        <w:t xml:space="preserve"> </w:t>
      </w:r>
      <w:r>
        <w:t xml:space="preserve"> </w:t>
      </w:r>
      <w:r>
        <w:t xml:space="preserve">J. L. Jaramillo, R. Panosso Macedo, and L. Al Sheikh, “Pseudospectrum</w:t>
      </w:r>
      <w:r>
        <w:t xml:space="preserve"> </w:t>
      </w:r>
      <w:r>
        <w:t xml:space="preserve">and black hole quasi-normal mode (in)stability,”</w:t>
      </w:r>
      <w:r>
        <w:t xml:space="preserve"> </w:t>
      </w:r>
      <w:r>
        <w:rPr>
          <w:i/>
          <w:iCs/>
        </w:rPr>
        <w:t xml:space="preserve">Phys. Rev. X</w:t>
      </w:r>
      <w:r>
        <w:t xml:space="preserve">,</w:t>
      </w:r>
      <w:r>
        <w:t xml:space="preserve"> </w:t>
      </w:r>
      <w:r>
        <w:t xml:space="preserve">vol. 11, art. no. 031003, 2021,</w:t>
      </w:r>
      <w:r>
        <w:t xml:space="preserve"> </w:t>
      </w:r>
      <w:r>
        <w:t xml:space="preserve">doi:10.1103/PhysRevX.11.031003. arXiv:2004.06434.</w:t>
      </w:r>
      <w:r>
        <w:t xml:space="preserve"> </w:t>
      </w:r>
      <w:bookmarkEnd w:id="97"/>
    </w:p>
    <w:p>
      <w:pPr>
        <w:pStyle w:val="Compact"/>
        <w:numPr>
          <w:ilvl w:val="0"/>
          <w:numId w:val="1004"/>
        </w:numPr>
      </w:pPr>
      <w:bookmarkStart w:id="98" w:name="bib.bib8"/>
      <w:r>
        <w:t xml:space="preserve">[8]</w:t>
      </w:r>
      <w:r>
        <w:t xml:space="preserve"> </w:t>
      </w:r>
      <w:r>
        <w:t xml:space="preserve"> </w:t>
      </w:r>
      <w:r>
        <w:t xml:space="preserve">K. Destounis, R. Panosso Macedo, E. Berti, V. Cardoso, and J. L.</w:t>
      </w:r>
      <w:r>
        <w:t xml:space="preserve"> </w:t>
      </w:r>
      <w:r>
        <w:t xml:space="preserve">Jaramillo, “Pseudospectrum of Reissner–Nordström black holes:</w:t>
      </w:r>
      <w:r>
        <w:t xml:space="preserve"> </w:t>
      </w:r>
      <w:r>
        <w:t xml:space="preserve">Quasinormal mode instability and universality,”</w:t>
      </w:r>
      <w:r>
        <w:t xml:space="preserve"> </w:t>
      </w:r>
      <w:r>
        <w:rPr>
          <w:i/>
          <w:iCs/>
        </w:rPr>
        <w:t xml:space="preserve">Phys. Rev. D</w:t>
      </w:r>
      <w:r>
        <w:t xml:space="preserve">,</w:t>
      </w:r>
      <w:r>
        <w:t xml:space="preserve"> </w:t>
      </w:r>
      <w:r>
        <w:t xml:space="preserve">vol. 104, art. no. 084091, 2021,</w:t>
      </w:r>
      <w:r>
        <w:t xml:space="preserve"> </w:t>
      </w:r>
      <w:r>
        <w:t xml:space="preserve">doi:10.1103/PhysRevD.104.084091. arXiv:2107.09673.</w:t>
      </w:r>
      <w:r>
        <w:t xml:space="preserve"> </w:t>
      </w:r>
      <w:bookmarkEnd w:id="98"/>
    </w:p>
    <w:p>
      <w:pPr>
        <w:pStyle w:val="Compact"/>
        <w:numPr>
          <w:ilvl w:val="0"/>
          <w:numId w:val="1004"/>
        </w:numPr>
      </w:pPr>
      <w:bookmarkStart w:id="99" w:name="bib.bib9"/>
      <w:r>
        <w:t xml:space="preserve">[9]</w:t>
      </w:r>
      <w:r>
        <w:t xml:space="preserve"> </w:t>
      </w:r>
      <w:r>
        <w:t xml:space="preserve"> </w:t>
      </w:r>
      <w:r>
        <w:t xml:space="preserve">E. Gasperín and J. L. Jaramillo, “Energy scales and black hole</w:t>
      </w:r>
      <w:r>
        <w:t xml:space="preserve"> </w:t>
      </w:r>
      <w:r>
        <w:t xml:space="preserve">pseudospectra: the structural role of the scalar product,”</w:t>
      </w:r>
      <w:r>
        <w:t xml:space="preserve"> </w:t>
      </w:r>
      <w:r>
        <w:rPr>
          <w:i/>
          <w:iCs/>
        </w:rPr>
        <w:t xml:space="preserve">Class. Quantum Grav.</w:t>
      </w:r>
      <w:r>
        <w:t xml:space="preserve">, vol. 39, no. 11, art. no. 115010,</w:t>
      </w:r>
      <w:r>
        <w:t xml:space="preserve"> </w:t>
      </w:r>
      <w:r>
        <w:t xml:space="preserve">2022, doi:10.1088/1361-6382/ac5054. arXiv:2107.12865.</w:t>
      </w:r>
      <w:r>
        <w:t xml:space="preserve"> </w:t>
      </w:r>
      <w:bookmarkEnd w:id="99"/>
    </w:p>
    <w:p>
      <w:pPr>
        <w:pStyle w:val="Compact"/>
        <w:numPr>
          <w:ilvl w:val="0"/>
          <w:numId w:val="1004"/>
        </w:numPr>
      </w:pPr>
      <w:bookmarkStart w:id="100" w:name="bib.bib10"/>
      <w:r>
        <w:t xml:space="preserve">[10]</w:t>
      </w:r>
      <w:r>
        <w:t xml:space="preserve"> </w:t>
      </w:r>
      <w:r>
        <w:t xml:space="preserve"> </w:t>
      </w:r>
      <w:r>
        <w:t xml:space="preserve">L. C. Stein, “qnm: A Python package for calculating Kerr quasinormal</w:t>
      </w:r>
      <w:r>
        <w:t xml:space="preserve"> </w:t>
      </w:r>
      <w:r>
        <w:t xml:space="preserve">modes, separation constants, and spherical-spheroidal mixing</w:t>
      </w:r>
      <w:r>
        <w:t xml:space="preserve"> </w:t>
      </w:r>
      <w:r>
        <w:t xml:space="preserve">coefficients,”</w:t>
      </w:r>
      <w:r>
        <w:t xml:space="preserve"> </w:t>
      </w:r>
      <w:r>
        <w:rPr>
          <w:i/>
          <w:iCs/>
        </w:rPr>
        <w:t xml:space="preserve">J. Open Source Softw.</w:t>
      </w:r>
      <w:r>
        <w:t xml:space="preserve">, vol. 4, no. 42, art. no. 1683,</w:t>
      </w:r>
      <w:r>
        <w:t xml:space="preserve"> </w:t>
      </w:r>
      <w:r>
        <w:t xml:space="preserve">2019, doi:10.21105/joss.01683. arXiv:1908.10377.</w:t>
      </w:r>
      <w:r>
        <w:t xml:space="preserve"> </w:t>
      </w:r>
      <w:bookmarkEnd w:id="100"/>
    </w:p>
    <w:bookmarkEnd w:id="101"/>
    <w:bookmarkEnd w:id="102"/>
    <w:p>
      <w:pPr>
        <w:pStyle w:val="FirstParagraph"/>
      </w:pPr>
      <w:r>
        <w:t xml:space="preserve">Generated on Sat Aug 8 11:46:59 2026 by</w:t>
      </w:r>
      <w:r>
        <w:t xml:space="preserve"> </w:t>
      </w:r>
      <w:hyperlink r:id="rId106">
        <w:r>
          <w:rPr>
            <w:rStyle w:val="Hyperlink"/>
          </w:rPr>
          <w:t xml:space="preserve">L</w:t>
        </w:r>
        <w:r>
          <w:rPr>
            <w:rStyle w:val="Hyperlink"/>
          </w:rPr>
          <w:t xml:space="preserve">a</w:t>
        </w:r>
        <w:r>
          <w:rPr>
            <w:rStyle w:val="Hyperlink"/>
          </w:rPr>
          <w:t xml:space="preserve">T</w:t>
        </w:r>
        <w:r>
          <w:rPr>
            <w:rStyle w:val="Hyperlink"/>
          </w:rPr>
          <w:t xml:space="preserve">e</w:t>
        </w:r>
        <w:r>
          <w:rPr>
            <w:rStyle w:val="Hyperlink"/>
          </w:rPr>
          <w:t xml:space="preserve">XML</w:t>
        </w:r>
        <w:r>
          <w:drawing>
            <wp:inline>
              <wp:extent cx="139700" cy="177800"/>
              <wp:effectExtent b="0" l="0" r="0" t="0"/>
              <wp:docPr descr="Mascot Sammy" title="" id="104" name="Picture"/>
              <a:graphic>
                <a:graphicData uri="http://schemas.openxmlformats.org/drawingml/2006/picture">
                  <pic:pic>
                    <pic:nvPicPr>
                      <pic:cNvPr descr="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" id="105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103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9700" cy="177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hyperlink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3" Target="media/rId103.png" /><Relationship Type="http://schemas.openxmlformats.org/officeDocument/2006/relationships/image" Id="rId62" Target="media/rId62.png" /><Relationship Type="http://schemas.openxmlformats.org/officeDocument/2006/relationships/image" Id="rId73" Target="media/rId73.png" /><Relationship Type="http://schemas.openxmlformats.org/officeDocument/2006/relationships/hyperlink" Id="rId106" Target="http://dlmf.nist.gov/LaTeXM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6" Target="http://dlmf.nist.gov/LaTeXM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2026-08-08T18:47:02Z</dcterms:created>
  <dcterms:modified xsi:type="dcterms:W3CDTF">2026-08-08T18:47:02Z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initial-scale=1, shrink-to-fit=no</vt:lpwstr>
  </property>
</Properties>
</file>